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§103-A. COMMITMENT AFFECTED BY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