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§1075. ATTORNEY NOT TO ACT AS SURETY OR DEPOSIT CASH BAIL FOR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