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Court-ordered independent examinations</w:t>
      </w:r>
    </w:p>
    <w:p>
      <w:pPr>
        <w:jc w:val="both"/>
        <w:spacing w:before="100" w:after="100"/>
        <w:ind w:start="360"/>
        <w:ind w:firstLine="360"/>
      </w:pPr>
      <w:r>
        <w:rPr/>
      </w:r>
      <w:r>
        <w:rPr/>
      </w:r>
      <w:r>
        <w:t xml:space="preserve">Before making a determination under </w:t>
      </w:r>
      <w:r>
        <w:t>section 106</w:t>
      </w:r>
      <w:r>
        <w:t xml:space="preserve"> or </w:t>
      </w:r>
      <w:r>
        <w:t>107</w:t>
      </w:r>
      <w:r>
        <w:t xml:space="preserve">, a court may order an independent psychiatric or medical examination of the patient.  The Department of Health and Human Services, within 30 days after receiving a request from the Administrative Office of the Courts, shall reimburse the Judicial Department for the full amount of fees paid by the Judicial Department to providers of psychiatric and medical examinations of forensic patients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§108. Court-ordered independent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Court-ordered independent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§108. COURT-ORDERED INDEPENDENT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