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 Fresh pursuit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Fresh pursuit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§152. FRESH PURSUIT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