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must direct the sheriff of the county in which trial was had to cause the convict, without needless delay, to be removed from the county jail to the State Prison. All sheriffs and jail keepers shall strictly obey the directions of the judgment. The clerk, as soon as may be, shall deliver a certified copy of the judgment to the sheriff of the county, and the sheriff shall forthwith deliver it and the convict to the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[RR 2023, c. 2, Pt. D,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RR 2023, c. 2, Pt. D,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 Removal to State Prison;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Removal to State Prison;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§1843. REMOVAL TO STATE PRISON;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