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Fines and forfeitures recovered by indictment unless otherwise provided</w:t>
      </w:r>
    </w:p>
    <w:p>
      <w:pPr>
        <w:jc w:val="both"/>
        <w:spacing w:before="100" w:after="100"/>
        <w:ind w:start="360"/>
        <w:ind w:firstLine="360"/>
      </w:pPr>
      <w:r>
        <w:rPr/>
      </w:r>
      <w:r>
        <w:rPr/>
      </w:r>
      <w:r>
        <w:t xml:space="preserve">All fines and forfeitures, imposed as punishment for offenses or for violations or neglects of statute duties may, when no other mode is expressly provided, be recovered by indictment. When no other appropriation is expressly made, they inure to the State.</w:t>
      </w:r>
      <w:r>
        <w:t xml:space="preserve">  </w:t>
      </w:r>
      <w:r xmlns:wp="http://schemas.openxmlformats.org/drawingml/2010/wordprocessingDrawing" xmlns:w15="http://schemas.microsoft.com/office/word/2012/wordml">
        <w:rPr>
          <w:rFonts w:ascii="Arial" w:hAnsi="Arial" w:cs="Arial"/>
          <w:sz w:val="22"/>
          <w:szCs w:val="22"/>
        </w:rPr>
        <w:t xml:space="preserve">[PL 1975, c. 623, §17-B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§17-B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§1903. Fines and forfeitures recovered by indictment unless otherwise provided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Fines and forfeitures recovered by indictment unless otherwise provided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§1903. FINES AND FORFEITURES RECOVERED BY INDICTMENT UNLESS OTHERWISE PROVIDED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