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w:t>
        <w:t xml:space="preserve">.  </w:t>
      </w:r>
      <w:r>
        <w:rPr>
          <w:b/>
        </w:rPr>
        <w:t xml:space="preserve">Governor to issue warrant and deliver to officer</w:t>
      </w:r>
    </w:p>
    <w:p>
      <w:pPr>
        <w:jc w:val="both"/>
        <w:spacing w:before="100" w:after="100"/>
        <w:ind w:start="360"/>
        <w:ind w:firstLine="360"/>
      </w:pPr>
      <w:r>
        <w:rPr/>
      </w:r>
      <w:r>
        <w:rPr/>
      </w:r>
      <w:r>
        <w:t xml:space="preserve">If the Governor decides that the demand should be complied with, the Governor shall sign a warrant of arrest, which must be sealed with the state seal and be directed to any law enforcement officer or other person whom the Governor may think fit to entrust with the execution of the warrant. The warrant must substantially recite the facts necessary to the validity of its issue.  Notwithstanding any other provision of law, defects in the Governor's warrant may not be raised as a defense to extradition in a petition contesting extradition pursuant to sections 210 and 210‑A, unless it is shown by the petitioner that any such defect is substantially prejudicial to the petitioner.</w:t>
      </w:r>
      <w:r>
        <w:t xml:space="preserve">  </w:t>
      </w:r>
      <w:r xmlns:wp="http://schemas.openxmlformats.org/drawingml/2010/wordprocessingDrawing" xmlns:w15="http://schemas.microsoft.com/office/word/2012/wordml">
        <w:rPr>
          <w:rFonts w:ascii="Arial" w:hAnsi="Arial" w:cs="Arial"/>
          <w:sz w:val="22"/>
          <w:szCs w:val="22"/>
        </w:rPr>
        <w:t xml:space="preserve">[RR 2023, c. 2, Pt. D, §14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§6 (AMD). PL 1983, c. 843, §2 (AMD). RR 2023, c. 2, Pt. D, §14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§207. Governor to issue warrant and deliver to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 Governor to issue warrant and deliver to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§207. GOVERNOR TO ISSUE WARRANT AND DELIVER TO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