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2161</w:t>
        <w:t xml:space="preserve">.  </w:t>
      </w:r>
      <w:r>
        <w:rPr>
          <w:b/>
        </w:rPr>
        <w:t xml:space="preserve">Notice to district attorney and Attorney General of all petitions for pardon or commutation</w:t>
      </w:r>
    </w:p>
    <w:p>
      <w:pPr>
        <w:jc w:val="both"/>
        <w:spacing w:before="100" w:after="100"/>
        <w:ind w:start="360"/>
        <w:ind w:firstLine="360"/>
      </w:pPr>
      <w:r>
        <w:rPr/>
      </w:r>
      <w:r>
        <w:rPr/>
      </w:r>
      <w:r>
        <w:t xml:space="preserve">On all petitions to the Governor for pardon or commutation of sentences, written notice thereof must be given to the Attorney General and the district attorney for the county where the case was tried at least 4 weeks before the time of the hearing thereon, and 4 weeks' notice in a newspaper of general circulation in the county. If the crime for which the pardon is asked or for which commutation of sentence is sought is punishable by imprisonment in the State Prison, the Attorney General or the district attorney for the county where the case was tried shall, upon the request of the Governor, attend the meeting of the Governor or the Parole Board at which the petition is to be heard and the Governor shall allow the district attorney the district attorney's necessary expenses for such attendance and a reasonable compensation for the district attorney's services to be paid from the State Treasury out of the appropriation for costs in criminal prosecutions. The Governor may require the judge and prosecuting officer who tried the case to furnish the Governor or the Parole Board a concise statement thereof as proved at the trial and any other facts bearing on the propriety of granting pardon or commutation.</w:t>
      </w:r>
      <w:r>
        <w:t xml:space="preserve">  </w:t>
      </w:r>
      <w:r xmlns:wp="http://schemas.openxmlformats.org/drawingml/2010/wordprocessingDrawing" xmlns:w15="http://schemas.microsoft.com/office/word/2012/wordml">
        <w:rPr>
          <w:rFonts w:ascii="Arial" w:hAnsi="Arial" w:cs="Arial"/>
          <w:sz w:val="22"/>
          <w:szCs w:val="22"/>
        </w:rPr>
        <w:t xml:space="preserve">[RR 2023, c. 2, Pt. D, §80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428, §2 (AMD). PL 1969, c. 319, §1 (AMD). PL 1973, c. 567, §20 (AMD). PL 1973, c. 625, §289 (AMD). PL 1973, c. 788, §62 (AMD). PL 1975, c. 771, §158 (AMD). PL 1987, c. 667, §16 (AMD). RR 2023, c. 2, Pt. D, §80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§2161. Notice to district attorney and Attorney General of all petitions for pardon or commutation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§2161. Notice to district attorney and Attorney General of all petitions for pardon or commutation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§2161. NOTICE TO DISTRICT ATTORNEY AND ATTORNEY GENERAL OF ALL PETITIONS FOR PARDON OR COMMUTATION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