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the accused or may continue the case for any further time not to exceed 60 days. If, after the expiration of any further time specified by the judge or magistrate, the accused has not been arrested under a Governor's warrant, the complaint must be dismissed. This section may not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[RR 2023, c. 2, Pt. D,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RR 2023, c. 2, Pt. D,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Extension of time of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Extension of time of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§217. EXTENSION OF TIME OF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