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§2252. STATUTORY PREREQUISITES FOR OBTAINING SPECIAL RESTRICTIONS ON DISSEMINATION AND USE OF CRIMINAL HISTORY RECORD INFORMATION FOR A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