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Failure to prosecute appeal</w:t>
      </w:r>
    </w:p>
    <w:p>
      <w:pPr>
        <w:jc w:val="both"/>
        <w:spacing w:before="100" w:after="100"/>
        <w:ind w:start="360"/>
        <w:ind w:firstLine="360"/>
      </w:pPr>
      <w:r>
        <w:rPr/>
      </w:r>
      <w:r>
        <w:rPr/>
      </w:r>
      <w:r>
        <w:t xml:space="preserve">If the appellant fails to prosecute the appellant's appeal, the appellant's recognizance must be in force for any breach of its conditions without an affirmation of the order and must stand as security for any costs that the appellant is ordered by the court to pay.</w:t>
      </w:r>
      <w:r>
        <w:t xml:space="preserve">  </w:t>
      </w:r>
      <w:r xmlns:wp="http://schemas.openxmlformats.org/drawingml/2010/wordprocessingDrawing" xmlns:w15="http://schemas.microsoft.com/office/word/2012/wordml">
        <w:rPr>
          <w:rFonts w:ascii="Arial" w:hAnsi="Arial" w:cs="Arial"/>
          <w:sz w:val="22"/>
          <w:szCs w:val="22"/>
        </w:rPr>
        <w:t xml:space="preserve">[RR 2023, c. 2, Pt. D,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§287. Failure to prosecute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Failure to prosecute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§287. FAILURE TO PROSECUTE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