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Any adjudication and related disposition sealed pursuant to </w:t>
      </w:r>
      <w:r>
        <w:t>section 3308‑C, subsection 10</w:t>
      </w:r>
      <w:r>
        <w:t xml:space="preserve"> is not subject to public disclosure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§1 (AMD).]</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638, §18 (AMD).]</w:t>
      </w:r>
    </w:p>
    <w:p>
      <w:pPr>
        <w:jc w:val="both"/>
        <w:spacing w:before="100" w:after="0"/>
        <w:ind w:start="720"/>
      </w:pPr>
      <w:r>
        <w:rPr/>
        <w:t>C</w:t>
        <w:t xml:space="preserve">.  </w:t>
      </w:r>
      <w:r>
        <w:rPr/>
      </w:r>
      <w:r>
        <w:t xml:space="preserve">A public entity for purposes of international travel, such as issuing visas and granting of citizenship; or</w:t>
      </w:r>
      <w:r>
        <w:t xml:space="preserve">  </w:t>
      </w:r>
      <w:r xmlns:wp="http://schemas.openxmlformats.org/drawingml/2010/wordprocessingDrawing" xmlns:w15="http://schemas.microsoft.com/office/word/2012/wordml">
        <w:rPr>
          <w:rFonts w:ascii="Arial" w:hAnsi="Arial" w:cs="Arial"/>
          <w:sz w:val="22"/>
          <w:szCs w:val="22"/>
        </w:rPr>
        <w:t xml:space="preserve">[PL 2023, c. 638, §19 (AMD).]</w:t>
      </w:r>
    </w:p>
    <w:p>
      <w:pPr>
        <w:jc w:val="both"/>
        <w:spacing w:before="100" w:after="0"/>
        <w:ind w:start="720"/>
      </w:pPr>
      <w:r>
        <w:rPr/>
        <w:t>D</w:t>
        <w:t xml:space="preserve">.  </w:t>
      </w:r>
      <w:r>
        <w:rPr/>
      </w:r>
      <w:r>
        <w:t xml:space="preserve">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§§18-20 (AMD).]</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PL 2023, c. 557, §1 (AMD). PL 2023, c. 638, §§18-20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 Dissemination of juvenile history record information by a Maine criminal justice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Dissemination of juvenile history record information by a Maine criminal justice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§3010. DISSEMINATION OF JUVENILE HISTORY RECORD INFORMATION BY A MAINE CRIMINAL JUSTICE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