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Venue</w:t>
      </w:r>
    </w:p>
    <w:p>
      <w:pPr>
        <w:jc w:val="both"/>
        <w:spacing w:before="100" w:after="100"/>
        <w:ind w:start="360"/>
        <w:ind w:firstLine="360"/>
      </w:pPr>
      <w:r>
        <w:rPr/>
      </w:r>
      <w:r>
        <w:rPr/>
      </w:r>
      <w:r>
        <w:t xml:space="preserve">Proceedings in cases brought under the provisions of </w:t>
      </w:r>
      <w:r>
        <w:t>section 3101</w:t>
      </w:r>
      <w:r>
        <w:t xml:space="preserve"> must be commenced in accordance with Rule 21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 (AMD). PL 2015, c. 431,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§3102.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