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Detention of juveniles</w:t>
      </w:r>
    </w:p>
    <w:p>
      <w:pPr>
        <w:jc w:val="both"/>
        <w:spacing w:before="100" w:after="100"/>
        <w:ind w:start="360"/>
        <w:ind w:firstLine="360"/>
      </w:pPr>
      <w:r>
        <w:rPr/>
      </w:r>
      <w:r>
        <w:rPr/>
      </w:r>
      <w:r>
        <w:t xml:space="preserve">A person under 18 years of age who is arrested for a crime defined under </w:t>
      </w:r>
      <w:r>
        <w:t>Title 12</w:t>
      </w:r>
      <w:r>
        <w:t xml:space="preserve"> or </w:t>
      </w:r>
      <w:r>
        <w:t>Title 29‑A</w:t>
      </w:r>
      <w:r>
        <w:t xml:space="preserve"> that is not a juvenile crime as defined in </w:t>
      </w:r>
      <w:r>
        <w:t>section 3103</w:t>
      </w:r>
      <w:r>
        <w:t xml:space="preserve"> is not subject to </w:t>
      </w:r>
      <w:r>
        <w:t>chapter 105‑A</w:t>
      </w:r>
      <w:r>
        <w:t xml:space="preserve"> and may not be detained unless a juvenile community corrections officer has been notified within 2 hours after the person's arrest and the juvenile community corrections officer or attorney for the State has approved the detention.  </w:t>
      </w:r>
      <w:r>
        <w:t>Section 3203‑A, subsection 7, paragraphs A</w:t>
      </w:r>
      <w:r>
        <w:t xml:space="preserve"> and </w:t>
      </w:r>
      <w:r>
        <w:t>B</w:t>
      </w:r>
      <w:r>
        <w:t xml:space="preserve"> governing the facilities in which juveniles may be detained apply to any detention of such a juvenile following arrest, and </w:t>
      </w:r>
      <w:r>
        <w:t>section 3203‑A, subsection 4, paragraph C</w:t>
      </w:r>
      <w:r>
        <w:t xml:space="preserve"> applies to the decision whether to release or further detain the juvenile.</w:t>
      </w:r>
      <w:r>
        <w:t xml:space="preserve">  </w:t>
      </w:r>
      <w:r xmlns:wp="http://schemas.openxmlformats.org/drawingml/2010/wordprocessingDrawing" xmlns:w15="http://schemas.microsoft.com/office/word/2012/wordml">
        <w:rPr>
          <w:rFonts w:ascii="Arial" w:hAnsi="Arial" w:cs="Arial"/>
          <w:sz w:val="22"/>
          <w:szCs w:val="22"/>
        </w:rPr>
        <w:t xml:space="preserve">[PL 2013, c. 424,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§7 (NEW). PL 2005, c. 507, §8 (AMD). PL 2011, c. 336, §2 (AMD). PL 2013, c. 424,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§3206. Detention of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Detention of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§3206. DETENTION OF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