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Procedure</w:t>
      </w:r>
    </w:p>
    <w:p>
      <w:pPr>
        <w:jc w:val="both"/>
        <w:spacing w:before="100" w:after="100"/>
        <w:ind w:start="360"/>
        <w:ind w:firstLine="360"/>
      </w:pPr>
      <w:r>
        <w:rPr/>
      </w:r>
      <w:r>
        <w:rPr/>
      </w:r>
      <w:r>
        <w:t xml:space="preserve">To the extent not inconsistent with or inapplicable to </w:t>
      </w:r>
      <w:r>
        <w:t>Part 6</w:t>
      </w:r>
      <w:r>
        <w:t xml:space="preserve">, procedure in juvenile proceedings must be in accordance with the Maine Rules of Unified Criminal Procedure. The Supreme Judicial Court may promulgate rules for juvenile proceedings as provided under </w:t>
      </w:r>
      <w:r>
        <w:t>Title 4,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§5 (RPR). PL 1989, c. 741, §16 (AMD). PL 2015, c. 431,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§3309.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§3309.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