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Counsel on appeal</w:t>
      </w:r>
    </w:p>
    <w:p>
      <w:pPr>
        <w:jc w:val="both"/>
        <w:spacing w:before="100" w:after="100"/>
        <w:ind w:start="360"/>
        <w:ind w:firstLine="360"/>
      </w:pPr>
      <w:r>
        <w:rPr/>
      </w:r>
      <w:r>
        <w:rPr/>
      </w:r>
      <w:r>
        <w:t xml:space="preserve">A juvenile or other party specified in </w:t>
      </w:r>
      <w:r>
        <w:t>section 3402, subsection 2, paragraph B</w:t>
      </w:r>
      <w:r>
        <w:t xml:space="preserve">, who is indigent shall be entitled to appointment of counsel.</w:t>
      </w:r>
      <w:r>
        <w:t xml:space="preserve">  </w:t>
      </w:r>
      <w:r xmlns:wp="http://schemas.openxmlformats.org/drawingml/2010/wordprocessingDrawing" xmlns:w15="http://schemas.microsoft.com/office/word/2012/wordml">
        <w:rPr>
          <w:rFonts w:ascii="Arial" w:hAnsi="Arial" w:cs="Arial"/>
          <w:sz w:val="22"/>
          <w:szCs w:val="22"/>
        </w:rPr>
        <w:t xml:space="preserve">[PL 1979, c. 512, §11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Counsel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Counsel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§3404. COUNSEL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