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Open pretrial criminal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Open pretrial criminal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§457. OPEN PRETRIAL CRIMINAL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