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§5826. Criminal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§5826. Criminal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§5826. CRIMINAL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