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5</w:t>
        <w:t xml:space="preserve">.  </w:t>
      </w:r>
      <w:r>
        <w:rPr>
          <w:b/>
        </w:rPr>
        <w:t xml:space="preserve">Applicability.</w:t>
        <w:t xml:space="preserve"> </w:t>
      </w:r>
      <w:r>
        <w:t xml:space="preserve"> </w:t>
      </w:r>
      <w:r>
        <w:t xml:space="preserve">Notwithstanding </w:t>
      </w:r>
      <w:r>
        <w:t>Title 1, section 302</w:t>
      </w:r>
      <w:r>
        <w:t xml:space="preserve">, this section applies to:</w:t>
      </w:r>
    </w:p>
    <w:p>
      <w:pPr>
        <w:jc w:val="both"/>
        <w:spacing w:before="100" w:after="0"/>
        <w:ind w:start="720"/>
      </w:pPr>
      <w:r>
        <w:rPr/>
        <w:t>A</w:t>
        <w:t xml:space="preserve">.  </w:t>
      </w:r>
      <w:r>
        <w:rPr/>
      </w:r>
      <w:r>
        <w:t xml:space="preserve">Cases pending on June 16, 2023; and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w:pPr>
        <w:jc w:val="both"/>
        <w:spacing w:before="100" w:after="0"/>
        <w:ind w:start="720"/>
      </w:pPr>
      <w:r>
        <w:rPr/>
        <w:t>B</w:t>
        <w:t xml:space="preserve">.  </w:t>
      </w:r>
      <w:r>
        <w:rPr/>
      </w:r>
      <w:r>
        <w:t xml:space="preserve">Cases initiated after June 16, 2023, regardless of the date on which conduct described in the forensic interview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PL 2023, c. 646,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Recordings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Recordings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§358. RECORDINGS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