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Notice</w:t>
      </w:r>
    </w:p>
    <w:p>
      <w:pPr>
        <w:jc w:val="both"/>
        <w:spacing w:before="100" w:after="100"/>
        <w:ind w:start="360"/>
        <w:ind w:firstLine="360"/>
      </w:pPr>
      <w:r>
        <w:rPr/>
      </w:r>
      <w:r>
        <w:rPr/>
      </w:r>
      <w:r>
        <w:t xml:space="preserve">Notice must be given to the owner or user of an electronic device whose content information was obtained by a government entity.  The notice requirements of this section do not apply if the government entity is unable to identify the owner or user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2023, c. 499, §8 (AMD).]</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content information was obtained by the government entity from a provider of electronic communication service or remote computing service within 3 days of obtaining the content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B</w:t>
        <w:t xml:space="preserve">.  </w:t>
      </w:r>
      <w:r>
        <w:rPr/>
      </w:r>
      <w:r>
        <w:t xml:space="preserve">The content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The identity of the provider of electronic communication service or remote computing service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§8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642</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Preclusion of notice to owner or user subject to warrant for content information.</w:t>
        <w:t xml:space="preserve"> </w:t>
      </w:r>
      <w:r>
        <w:t xml:space="preserve"> </w:t>
      </w:r>
      <w:r>
        <w:t xml:space="preserve">A government entity acting under section 642 may include in its application for a warrant a request for an order directing a provider of electronic communication service or remote computing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§9 (AMD).]</w:t>
      </w:r>
    </w:p>
    <w:p>
      <w:pPr>
        <w:jc w:val="both"/>
        <w:spacing w:before="100" w:after="100"/>
        <w:ind w:start="360"/>
      </w:pPr>
      <w:r>
        <w:rPr>
          <w:b w:val="true"/>
          <w:i/>
          <w:caps w:val="true"/>
        </w:rPr>
        <w:t xml:space="preserve">Revisor's Note: </w:t>
      </w:r>
      <w:r>
        <w:t>§643.  Notice (As enacted by PL 2013, c. 409, §1 is REALLOCATED TO TITLE 16, SECTION 649)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402, §1 (NEW). PL 2013, c. 409, §1 (NEW). PL 2019, c. 489, §§7, 8 (AMD). PL 2023, c. 499,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