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§648. Search warrant needed for acquisition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 Search warrant needed for acquisition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§648. SEARCH WARRANT NEEDED FOR ACQUISITION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