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w:t>
        <w:t xml:space="preserve">.  </w:t>
      </w:r>
      <w:r>
        <w:rPr>
          <w:b/>
        </w:rPr>
        <w:t xml:space="preserve">Notice</w:t>
      </w:r>
    </w:p>
    <w:p>
      <w:pPr>
        <w:jc w:val="both"/>
        <w:spacing w:before="100" w:after="100"/>
        <w:ind w:start="360"/>
      </w:pPr>
      <w:r>
        <w:rPr>
          <w:b/>
        </w:rPr>
        <w:t>(REALLOCATED FROM TITLE 16, SECTION 643)</w:t>
      </w:r>
    </w:p>
    <w:p>
      <w:pPr>
        <w:jc w:val="both"/>
        <w:spacing w:before="100" w:after="100"/>
        <w:ind w:start="360"/>
        <w:ind w:firstLine="360"/>
      </w:pPr>
      <w:r>
        <w:rPr/>
      </w:r>
      <w:r>
        <w:rPr/>
      </w:r>
      <w:r>
        <w:t xml:space="preserve">Notice must be given to the owner or user of an electronic device whose location information was obtained by a government entity.  The government entity's notification obligation applies only if the government entity is able to identify the owner or user.</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location information was obtained by the government entity from that owner's or user's electronic device within 3 days of obtaining the location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B</w:t>
        <w:t xml:space="preserve">.  </w:t>
      </w:r>
      <w:r>
        <w:rPr/>
      </w:r>
      <w:r>
        <w:t xml:space="preserve">The location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C</w:t>
        <w:t xml:space="preserve">.  </w:t>
      </w:r>
      <w:r>
        <w:rPr/>
      </w:r>
      <w:r>
        <w:t xml:space="preserve">If location information was obtained from a provider of electronic communication service, location information service or remote computing service or other 3rd party, the identity of the provider of electronic communication service, location information service or remote computing service or the 3rd party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§14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648</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§21 (AMD).]</w:t>
      </w:r>
    </w:p>
    <w:p>
      <w:pPr>
        <w:jc w:val="both"/>
        <w:spacing w:before="100" w:after="0"/>
        <w:ind w:start="360"/>
        <w:ind w:firstLine="360"/>
      </w:pPr>
      <w:r>
        <w:rPr>
          <w:b/>
        </w:rPr>
        <w:t>3</w:t>
        <w:t xml:space="preserve">.  </w:t>
      </w:r>
      <w:r>
        <w:rPr>
          <w:b/>
        </w:rPr>
        <w:t xml:space="preserve">Preclusion of notice to owner or user subject to warrant for location information.</w:t>
        <w:t xml:space="preserve"> </w:t>
      </w:r>
      <w:r>
        <w:t xml:space="preserve"> </w:t>
      </w:r>
      <w:r>
        <w:t xml:space="preserve">A government entity acting under </w:t>
      </w:r>
      <w:r>
        <w:t>section 648</w:t>
      </w:r>
      <w:r>
        <w:t xml:space="preserve"> may include in its application for a warrant a request for an order directing a provider of electronic communication service, remote computing service or location information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588, Pt. A, §21 (AMD). PL 2019, c. 489,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§649.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§649.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