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§650-B. ACTION AGAINST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