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§806-A. Video depicting use of deadly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Video depicting use of deadly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§806-A. VIDEO DEPICTING USE OF DEADLY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