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§1004. CRIMINAL USE OF ELECTRONIC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