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Right to possess, carry or transport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Right to possess, carry or transport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§1052. RIGHT TO POSSESS, CARRY OR TRANSPORT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