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 Unauthorized possession of firearm in courthouse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Unauthorized possession of firearm in courthouse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§1058. UNAUTHORIZED POSSESSION OF FIREARM IN COURTHOUSE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