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Homelessness crisis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Homelessness crisis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 HOMELESSNESS CRISIS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