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Restitution for benefit of victim</w:t>
      </w:r>
    </w:p>
    <w:p>
      <w:pPr>
        <w:jc w:val="both"/>
        <w:spacing w:before="100" w:after="100"/>
        <w:ind w:start="360"/>
        <w:ind w:firstLine="360"/>
      </w:pPr>
      <w:r>
        <w:rPr/>
      </w:r>
      <w:r>
        <w:rPr/>
      </w:r>
      <w:r>
        <w:t xml:space="preserve">When compensation is awarded from the Victims' Compensation Fund pursuant to </w:t>
      </w:r>
      <w:r>
        <w:t>Title 5, chapter 316‑A</w:t>
      </w:r>
      <w:r>
        <w:t xml:space="preserve"> or the Victims' Property Compensation Fund pursuant to </w:t>
      </w:r>
      <w:r>
        <w:t>Title 5, chapter 316‑C</w:t>
      </w:r>
      <w:r>
        <w:t xml:space="preserve">, the amount of any restitution ordered to be paid to or for the benefit of the victim and collected as part of a sentence imposed must be paid by the agency collecting the restitution in an amount not to exceed the amount of the payments from the fund, directly to the fund if, when added to the payments from the fund, the restitution exceeds the victim's actual loss.</w:t>
      </w:r>
      <w:r>
        <w:t xml:space="preserve">  </w:t>
      </w:r>
      <w:r xmlns:wp="http://schemas.openxmlformats.org/drawingml/2010/wordprocessingDrawing" xmlns:w15="http://schemas.microsoft.com/office/word/2012/wordml">
        <w:rPr>
          <w:rFonts w:ascii="Arial" w:hAnsi="Arial" w:cs="Arial"/>
          <w:sz w:val="22"/>
          <w:szCs w:val="22"/>
        </w:rPr>
        <w:t xml:space="preserve">[PL 2019, c. 549,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549,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§2018. Restitution for benefit of victim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Restitution for benefit of victim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§2018. RESTITUTION FOR BENEFIT OF VICTIM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