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§208-B. Elevated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§208-B. Elevated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§208-B. ELEVATED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