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§254-A. Written notification not to pursue charges for sexual abuse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§254-A. Written notification not to pursue charges for sexual abuse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§254-A. WRITTEN NOTIFICATION NOT TO PURSUE CHARGES FOR SEXUAL ABUSE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