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Unlawful assembly</w:t>
      </w:r>
    </w:p>
    <w:p>
      <w:pPr>
        <w:jc w:val="both"/>
        <w:spacing w:before="100" w:after="100"/>
        <w:ind w:start="360"/>
        <w:ind w:firstLine="360"/>
      </w:pPr>
      <w:r>
        <w:rPr/>
      </w:r>
      <w:r>
        <w:rPr/>
      </w:r>
      <w:r>
        <w:t xml:space="preserve">A person is guilty of unlawful assembly if:</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He assembles with 5 or more other persons with intent to engage in conduct constituting a riot; or being present at an assembly that either has or develops a purpose to engage in conduct constituting a riot, he remains there with intent to advance that purpose;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He knowingly fails to comply with an order to disperse given by a law enforcement officer to the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Unlawful assembly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Unlawful assembly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Unlawful assembly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§504. UNLAWFUL ASSEMBLY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