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§511-A. Unauthorized dissemination of certain private images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§511-A. UNAUTHORIZED DISSEMINATION OF CERTAIN PRIVATE IMAGES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