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Application to crimes outside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Application to crimes outside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 APPLICATION TO CRIMES OUTSIDE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