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Possession of gambling records</w:t>
      </w:r>
    </w:p>
    <w:p>
      <w:pPr>
        <w:jc w:val="both"/>
        <w:spacing w:before="100" w:after="0"/>
        <w:ind w:start="360"/>
        <w:ind w:firstLine="360"/>
      </w:pPr>
      <w:r>
        <w:rPr>
          <w:b/>
        </w:rPr>
        <w:t>1</w:t>
        <w:t xml:space="preserve">.  </w:t>
      </w:r>
      <w:r>
        <w:rPr>
          <w:b/>
        </w:rPr>
      </w:r>
      <w:r>
        <w:t xml:space="preserve"> </w:t>
      </w:r>
      <w:r>
        <w:t xml:space="preserve">A person is guilty of possession of gambling records if, other than as a player, he knowingly possesses any writing, paper, instrument or article, which is being used or is intended by him to be used in the operation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records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Possession of gambling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Possession of gambling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§955. POSSESSION OF GAMBLING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