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Illegal gambling machines;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Illegal gambling machines;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§959. ILLEGAL GAMBLING MACHINES;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