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DEAD BODIES AND GRAVES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45. DEAD BODIES AND GRAVES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