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NUISANCES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jc w:val="both"/>
        <w:spacing w:before="100" w:after="100"/>
        <w:ind w:start="1080" w:hanging="720"/>
      </w:pPr>
      <w:r>
        <w:rPr>
          <w:b/>
        </w:rPr>
        <w:t>§</w:t>
        <w:t>2701-A</w:t>
        <w:t xml:space="preserve">.  </w:t>
      </w:r>
      <w:r>
        <w:rPr>
          <w:b/>
        </w:rPr>
        <w:t xml:space="preserve">Action against insect infestation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645 (NEW). PL 1981, c. 571, §§1,2 (AMD). PL 1987, c. 479 (RPR). PL 1993, c. 124, §1 (RP). </w:t>
      </w:r>
    </w:p>
    <w:p>
      <w:pPr>
        <w:jc w:val="both"/>
        <w:spacing w:before="100" w:after="100"/>
        <w:ind w:start="1080" w:hanging="720"/>
      </w:pPr>
      <w:r>
        <w:rPr>
          <w:b/>
        </w:rPr>
        <w:t>§</w:t>
        <w:t>2701-B</w:t>
        <w:t xml:space="preserve">.  </w:t>
      </w:r>
      <w:r>
        <w:rPr>
          <w:b/>
        </w:rPr>
        <w:t xml:space="preserve">Action against improper manure handling</w:t>
      </w:r>
    </w:p>
    <w:p>
      <w:pPr>
        <w:jc w:val="both"/>
        <w:spacing w:before="100" w:after="100"/>
        <w:ind w:start="360"/>
        <w:ind w:firstLine="360"/>
      </w:pPr>
      <w:r>
        <w:rPr/>
      </w:r>
      <w:r>
        <w:rPr/>
      </w:r>
      <w:r>
        <w:t xml:space="preserve">The Commissioner of Agriculture, Conservation and Forestry shall investigate complaints of improper manure handling, including, but not limited to, complaints of improper storage or spreading of manure.   If the commissioner is able to identify the source or sources of the manure and has reason to believe that the manure is a nuisance and the nuisance is caused by the use of other than best management practices for manure handling,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1993, c. 124, §2 (AMD); PL 2011, c. 657, Pt. W, §6 (REV).]</w:t>
      </w:r>
    </w:p>
    <w:p>
      <w:pPr>
        <w:jc w:val="both"/>
        <w:spacing w:before="100" w:after="0"/>
        <w:ind w:start="360"/>
        <w:ind w:firstLine="360"/>
      </w:pPr>
      <w:r>
        <w:rPr>
          <w:b/>
        </w:rPr>
        <w:t>1</w:t>
        <w:t xml:space="preserve">.  </w:t>
      </w:r>
      <w:r>
        <w:rPr>
          <w:b/>
        </w:rPr>
        <w:t xml:space="preserve">Findings.</w:t>
        <w:t xml:space="preserve"> </w:t>
      </w:r>
      <w:r>
        <w:t xml:space="preserve"> </w:t>
      </w:r>
      <w:r>
        <w:t xml:space="preserve">Determine the changes needed in manure handling to comply with best management practices for manure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2</w:t>
        <w:t xml:space="preserve">.  </w:t>
      </w:r>
      <w:r>
        <w:rPr>
          <w:b/>
        </w:rPr>
        <w:t xml:space="preserve">Conformance.</w:t>
        <w:t xml:space="preserve"> </w:t>
      </w:r>
      <w:r>
        <w:t xml:space="preserve"> </w:t>
      </w:r>
      <w:r>
        <w:t xml:space="preserve">Require the person responsible to abide by the necessary changes determined in </w:t>
      </w:r>
      <w:r>
        <w:t>subsection 1</w:t>
      </w:r>
      <w:r>
        <w:t xml:space="preserve"> and determine if the changes have been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3</w:t>
        <w:t xml:space="preserve">.  </w:t>
      </w:r>
      <w:r>
        <w:rPr>
          <w:b/>
        </w:rPr>
        <w:t xml:space="preserve">Report.</w:t>
        <w:t xml:space="preserve"> </w:t>
      </w:r>
      <w:r>
        <w:t xml:space="preserve"> </w:t>
      </w:r>
      <w:r>
        <w:t xml:space="preserve">Give the written findings of the initial investigation and any determination of compliance to the complainant and the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100"/>
        <w:ind w:start="360"/>
        <w:ind w:firstLine="360"/>
      </w:pPr>
      <w:r>
        <w:rPr/>
      </w:r>
      <w:r>
        <w:rPr/>
      </w:r>
      <w:r>
        <w:t xml:space="preserve">If the person responsible does not adopt best management practices for manure handling, the commissioner shall send a copy of the written report to the Department of Environmental Protection and refer the matter in writing to the Attorney General.  The Attorney General may institute an action to abate a nuisance and the court may order the abatement with costs as provided under this chapter.  If the commissioner, upon investigation, finds that the person responsible for the manure is following best management practices for manure handling, the commissioner shall advise the complainant and the person responsible in writing.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Failure to apply best management practices in accordance with this section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283, §5 (NEW).]</w:t>
      </w:r>
    </w:p>
    <w:p>
      <w:pPr>
        <w:jc w:val="both"/>
        <w:spacing w:before="100" w:after="100"/>
        <w:ind w:start="360"/>
        <w:ind w:firstLine="360"/>
      </w:pPr>
      <w:r>
        <w:rPr/>
      </w:r>
      <w:r>
        <w:rPr/>
      </w:r>
      <w:r>
        <w:t xml:space="preserve">The commissioner shall adopt rules in accordance with the Maine Administrative Procedure Act for the interpretation and implementation of this section, including a definition of "best management practices for manure handling."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If the commissioner finds that improper manure handling may have affected water quality and the person responsible does not adopt best management practices for manure handling, the commissioner shall advise the Commissioner of Environmental Protection that a potential water quality violation exists and the Commissioner of Environmental Protection may respond as appropriate.</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836, §2 (NEW). PL 1991, c. 548, §§A6,7 (AMD). PL 1993, c. 124, §2 (AMD). PL 2003, c. 283, §5 (AMD). PL 2011, c. 657, Pt. W, §6 (REV). </w:t>
      </w:r>
    </w:p>
    <w:p>
      <w:pPr>
        <w:jc w:val="both"/>
        <w:spacing w:before="100" w:after="100"/>
        <w:ind w:start="1080" w:hanging="720"/>
      </w:pPr>
      <w:r>
        <w:rPr>
          <w:b/>
        </w:rPr>
        <w:t>§</w:t>
        <w:t>2702</w:t>
        <w:t xml:space="preserve">.  </w:t>
      </w:r>
      <w:r>
        <w:rPr>
          <w:b/>
        </w:rPr>
        <w:t xml:space="preserve">Abatement of nuisance</w:t>
      </w:r>
    </w:p>
    <w:p>
      <w:pPr>
        <w:jc w:val="both"/>
        <w:spacing w:before="100" w:after="100"/>
        <w:ind w:start="360"/>
        <w:ind w:firstLine="360"/>
      </w:pPr>
      <w:r>
        <w:rPr/>
      </w:r>
      <w:r>
        <w:rPr/>
      </w:r>
      <w:r>
        <w:t xml:space="preserve">When on indictment, complaint or action any person is adjudged guilty of a nuisance, the court, in addition to the fine imposed, if any, or to the judgment for damages and costs for which a separate execution shall issue, may order the nuisance abated or removed at the expense of the defendant. After inquiring into and estimating, as nearly as may be, the sum necessary to defray the expense thereof, the court may issue a warrant therefor substantially in the form following</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 ss. To the sheriff of our county of .........., or either of his deputies,                Greetings.</w:t>
      </w:r>
    </w:p>
    <w:p xmlns:wp="http://schemas.openxmlformats.org/drawingml/2010/wordprocessingDrawing" xmlns:w15="http://schemas.microsoft.com/office/word/2012/wordml">
      <w:pPr>
        <w:spacing w:before="100" w:after="100"/>
        <w:ind w:start="720"/>
        <w:ind w:firstLine="360"/>
      </w:pPr>
      <w:r>
        <w:t xml:space="preserve">Whereas, by the consideration of our honorable .......... Court, at a term begun and held at .........., within and for said county, upon indictment," (or "complaint," or "action in favor of A. B.," as the case may be,) "C. D., of .........., &amp;c., was adjudged guilty of erecting," ["causing," or "continuing,"] "a certain nuisance, being a building in .........., in said county," (or "fence," or other thing, describing particularly the nuisance and the place,) "which nuisance was ordered by said court to be abated and removed: We therefore command you forthwith to cause said nuisance to be abated and removed; also that you levy of the materials by you so removed, and of the goods, chattels and lands of said C. D., a sum sufficient to defray the expense of removing and abating the same, not to exceed .......... dollars," (the sum estimated by the court,) "together with your lawful fees, and thirty-three cents more for this writ. And, for want of such goods and estate to satisfy said sums, we command you to take the body of said C. D., and him commit unto our jail in .......... in said county, and there detain until he pays such sums or is legally discharged. And make return of this warrant, with your doings thereon, within thirty days. Witness, A. B., Esq., at .........., this .......... day of .........., in the year of our Lord 19....</w:t>
      </w:r>
    </w:p>
    <w:p xmlns:wp="http://schemas.openxmlformats.org/drawingml/2010/wordprocessingDrawing" xmlns:w15="http://schemas.microsoft.com/office/word/2012/wordml">
      <w:pPr>
        <w:spacing w:before="100" w:after="100"/>
        <w:ind w:start="360"/>
        <w:ind w:firstLine="360"/>
        <w:jc w:val="right"/>
      </w:pPr>
      <w:r>
        <w:t xml:space="preserve">J. S., Clerk."</w:t>
      </w:r>
      <w:r>
        <w:t xml:space="preserve">  </w:t>
      </w:r>
      <w:r>
        <w:rPr>
          <w:rFonts w:ascii="Arial" w:hAnsi="Arial" w:cs="Arial"/>
          <w:sz w:val="22"/>
          <w:szCs w:val="22"/>
        </w:rPr>
        <w:t xml:space="preserve"/>
      </w:r>
    </w:p>
    <w:p>
      <w:pPr>
        <w:jc w:val="both"/>
        <w:spacing w:before="100" w:after="100"/>
        <w:ind w:start="1080" w:hanging="720"/>
      </w:pPr>
      <w:r>
        <w:rPr>
          <w:b/>
        </w:rPr>
        <w:t>§</w:t>
        <w:t>2703</w:t>
        <w:t xml:space="preserve">.  </w:t>
      </w:r>
      <w:r>
        <w:rPr>
          <w:b/>
        </w:rPr>
        <w:t xml:space="preserve">Stay on security to discontinue</w:t>
      </w:r>
    </w:p>
    <w:p>
      <w:pPr>
        <w:jc w:val="both"/>
        <w:spacing w:before="100" w:after="100"/>
        <w:ind w:start="360"/>
        <w:ind w:firstLine="360"/>
      </w:pPr>
      <w:r>
        <w:rPr/>
      </w:r>
      <w:r>
        <w:rPr/>
      </w:r>
      <w:r>
        <w:t xml:space="preserve">Instead of issuing the warrant required by </w:t>
      </w:r>
      <w:r>
        <w:t>section 2702</w:t>
      </w:r>
      <w:r>
        <w:t xml:space="preserve">, the court may order it to be stayed on motion of the defendant, and on his entering into recognizance in such sum and with such surety as the court directs, in case of an indictment, to the State, or in case of a complaint or action, to the plaintiff, conditioned that the defendant will either discontinue said nuisance, or that within a time limited by the court and not exceeding 6 months, he will cause it to be abated and removed, as may be directed by the court. On failing to perform such condition, the recognizance shall be deemed forfeited, and the court on being satisfied of such default, may forthwith issue the warrant and entertain an action to enforce the recognizance.</w:t>
      </w:r>
    </w:p>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jc w:val="both"/>
        <w:spacing w:before="100" w:after="100"/>
        <w:ind w:start="1080" w:hanging="720"/>
      </w:pPr>
      <w:r>
        <w:rPr>
          <w:b/>
        </w:rPr>
        <w:t>§</w:t>
        <w:t>2705</w:t>
        <w:t xml:space="preserve">.  </w:t>
      </w:r>
      <w:r>
        <w:rPr>
          <w:b/>
        </w:rPr>
        <w:t xml:space="preserve">Jurisdiction by injunction</w:t>
      </w:r>
    </w:p>
    <w:p>
      <w:pPr>
        <w:jc w:val="both"/>
        <w:spacing w:before="100" w:after="100"/>
        <w:ind w:start="360"/>
        <w:ind w:firstLine="360"/>
      </w:pPr>
      <w:r>
        <w:rPr/>
      </w:r>
      <w:r>
        <w:rPr/>
      </w:r>
      <w:r>
        <w:t xml:space="preserve">Any court of record before which an indictment, complaint or action for a nuisance is pending may, in any county, issue an injunction to stay or prevent such nuisance, and make such orders and decrees for enforcing or dissolving it as justice and equity require.</w:t>
      </w:r>
    </w:p>
    <w:p>
      <w:pPr>
        <w:jc w:val="both"/>
        <w:spacing w:before="100" w:after="100"/>
        <w:ind w:start="1080" w:hanging="720"/>
      </w:pPr>
      <w:r>
        <w:rPr>
          <w:b/>
        </w:rPr>
        <w:t>§</w:t>
        <w:t>2706</w:t>
        <w:t xml:space="preserve">.  </w:t>
      </w:r>
      <w:r>
        <w:rPr>
          <w:b/>
        </w:rPr>
        <w:t xml:space="preserve">Penalty and abatement of nuisance</w:t>
      </w:r>
    </w:p>
    <w:p>
      <w:pPr>
        <w:jc w:val="both"/>
        <w:spacing w:before="100" w:after="100"/>
        <w:ind w:start="360"/>
        <w:ind w:firstLine="360"/>
      </w:pPr>
      <w:r>
        <w:rPr/>
      </w:r>
      <w:r>
        <w:rPr/>
      </w:r>
      <w:r>
        <w:t xml:space="preserve">Whoever erects, causes or continues a public or common nuisance, as herein described or at common law, where no other punishment is specially provided, shall be punished by a fine of not more than $100. The court with or without such fine may order such nuisance to be discontinued or abated, and issue a warrant therefor as provided.</w:t>
      </w:r>
    </w:p>
    <w:p>
      <w:pPr>
        <w:jc w:val="center"/>
        <w:ind w:start="360"/>
        <w:spacing w:before="300" w:after="300"/>
      </w:pPr>
      <w:r>
        <w:rPr>
          <w:b/>
        </w:rPr>
        <w:t>SUBCHAPTER</w:t>
        <w:t xml:space="preserve"> </w:t>
        <w:t>2</w:t>
      </w:r>
    </w:p>
    <w:p>
      <w:pPr>
        <w:jc w:val="center"/>
        <w:ind w:start="360"/>
        <w:spacing w:before="300" w:after="300"/>
      </w:pPr>
      <w:r>
        <w:rPr>
          <w:b/>
        </w:rPr>
        <w:t xml:space="preserve">COMMON NUISANCES</w:t>
      </w:r>
    </w:p>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jc w:val="center"/>
        <w:ind w:start="360"/>
        <w:spacing w:before="300" w:after="300"/>
      </w:pPr>
      <w:r>
        <w:rPr>
          <w:b/>
        </w:rPr>
        <w:t>SUBCHAPTER</w:t>
        <w:t xml:space="preserve"> </w:t>
        <w:t>3</w:t>
      </w:r>
    </w:p>
    <w:p>
      <w:pPr>
        <w:jc w:val="center"/>
        <w:ind w:start="360"/>
        <w:spacing w:before="300" w:after="300"/>
      </w:pPr>
      <w:r>
        <w:rPr>
          <w:b/>
        </w:rPr>
        <w:t xml:space="preserve">PARTICULAR NUISANCES</w:t>
      </w:r>
    </w:p>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jc w:val="both"/>
        <w:spacing w:before="100" w:after="100"/>
        <w:ind w:start="1080" w:hanging="720"/>
      </w:pPr>
      <w:r>
        <w:rPr>
          <w:b/>
        </w:rPr>
        <w:t>§</w:t>
        <w:t>2794</w:t>
        <w:t xml:space="preserve">.  </w:t>
      </w:r>
      <w:r>
        <w:rPr>
          <w:b/>
        </w:rPr>
        <w:t xml:space="preserve">Dumping of oil</w:t>
      </w:r>
    </w:p>
    <w:p>
      <w:pPr>
        <w:jc w:val="both"/>
        <w:spacing w:before="100" w:after="100"/>
        <w:ind w:start="360"/>
        <w:ind w:firstLine="360"/>
      </w:pPr>
      <w:r>
        <w:rPr/>
      </w:r>
      <w:r>
        <w:rPr/>
      </w:r>
      <w:r>
        <w:t xml:space="preserve">Oil, and a petroleum base, or materials containing significant quantities of such oil shall not be intentionally placed or deposited directly into or on banks of any river or stream, permanent or temporary, lake, pond or tidal waters or on the ice thereof where such material may fall or otherwise find its way into said watercourse or tidal waters, or shall such material be intentionally placed or deposited directly in pits, wells or on ground surfaces in such a manner that oil will percolate, seep or otherwise find access into ground waters or into wells used for the production of water.</w:t>
      </w:r>
    </w:p>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jc w:val="both"/>
        <w:spacing w:before="100" w:after="100"/>
        <w:ind w:start="1080" w:hanging="720"/>
      </w:pPr>
      <w:r>
        <w:rPr>
          <w:b/>
        </w:rPr>
        <w:t>§</w:t>
        <w:t>2796</w:t>
        <w:t xml:space="preserve">.  </w:t>
      </w:r>
      <w:r>
        <w:rPr>
          <w:b/>
        </w:rPr>
        <w:t xml:space="preserve">Manufacture of powder</w:t>
      </w:r>
    </w:p>
    <w:p>
      <w:pPr>
        <w:jc w:val="both"/>
        <w:spacing w:before="100" w:after="100"/>
        <w:ind w:start="360"/>
        <w:ind w:firstLine="360"/>
      </w:pPr>
      <w:r>
        <w:rPr/>
      </w:r>
      <w:r>
        <w:rPr/>
      </w:r>
      <w:r>
        <w:t xml:space="preserve">If any person manufactures gunpowder, or mixes or grinds the composition therefor, in any building within 80 rods of any valuable building not owned by such person or his lessor, which was erected when such business was commenced, the former building shall be deemed a public nuisance; and such person may be prosecuted accordingly.</w:t>
      </w:r>
    </w:p>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jc w:val="both"/>
        <w:spacing w:before="100" w:after="100"/>
        <w:ind w:start="1080" w:hanging="720"/>
      </w:pPr>
      <w:r>
        <w:rPr>
          <w:b/>
        </w:rPr>
        <w:t>§</w:t>
        <w:t>2802</w:t>
        <w:t xml:space="preserve">.  </w:t>
      </w:r>
      <w:r>
        <w:rPr>
          <w:b/>
        </w:rPr>
        <w:t xml:space="preserve">Miscellaneous nuisances</w:t>
      </w:r>
    </w:p>
    <w:p>
      <w:pPr>
        <w:jc w:val="both"/>
        <w:spacing w:before="100" w:after="100"/>
        <w:ind w:start="360"/>
        <w:ind w:firstLine="360"/>
      </w:pPr>
      <w:r>
        <w:rPr/>
      </w:r>
      <w:r>
        <w:rPr/>
      </w:r>
      <w:r>
        <w:t xml:space="preserve">The erection, continuance or use of any building or place for the exercise of a trade, employment or manufacture that, by noxious exhalations, offensive smells or other annoyances, becomes injurious and dangerous to the health, comfort or property of individuals or of the public; causing or permitting abandoned wells or tin mining shafts to remain unfilled or uncovered to the injury or prejudice of others; causing or suffering any offal, filth or noisome substance to collect or to remain in any place to the prejudice of others; obstructing or impeding, without legal authority, the passage of any navigable river, harbor or collection of water; corrupting or rendering unwholesome or impure the water of a river, stream, pond or aquifer; imprudent operation of a watercraft as defined in </w:t>
      </w:r>
      <w:r>
        <w:t>Title 12, section 13068‑A, subsection 8</w:t>
      </w:r>
      <w:r>
        <w:t xml:space="preserve">; unlawfully diverting the water of a river, stream, pond or aquifer from its natural course or state to the injury or prejudice of others; and the obstructing or encumbering by fences, buildings or otherwise of highways, private ways, streets, alleys, commons, common landing places or burying grounds are nuisances within the limitations and exceptions mentioned. Any places where one or more old, discarded, worn-out or junked motor vehicles as defined in </w:t>
      </w:r>
      <w:r>
        <w:t>Title 29‑A, section 101, subsection 42</w:t>
      </w:r>
      <w:r>
        <w:t xml:space="preserve">, or parts thereof, are gathered together, kept, deposited or allowed to accumulate, in such manner or in such location or situation either within or without the limits of any highway, as to be unsightly, detracting from the natural scenery or injurious to the comfort and happiness of individuals and the public, and injurious to property rights, are public nuisances.</w:t>
      </w:r>
      <w:r>
        <w:t xml:space="preserve">  </w:t>
      </w:r>
      <w:r xmlns:wp="http://schemas.openxmlformats.org/drawingml/2010/wordprocessingDrawing" xmlns:w15="http://schemas.microsoft.com/office/word/2012/wordml">
        <w:rPr>
          <w:rFonts w:ascii="Arial" w:hAnsi="Arial" w:cs="Arial"/>
          <w:sz w:val="22"/>
          <w:szCs w:val="22"/>
        </w:rPr>
        <w:t xml:space="preserve">[PL 2005, c. 397,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§1 (AMD). PL 1971, c. 274 (AMD). PL 1979, c. 472, §3 (AMD). PL 1995, c. 65, §A53 (AMD). PL 1995, c. 65, §§A153,C15 (AFF). PL 1997, c. 540, §4 (AMD). PL 1997, c. 683, §A7 (AMD). RR 2003, c. 2, §24 (COR). PL 2005, c. 397, §A11 (AMD). </w:t>
      </w:r>
    </w:p>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jc w:val="center"/>
        <w:ind w:start="360"/>
        <w:spacing w:before="300" w:after="300"/>
      </w:pPr>
      <w:r>
        <w:rPr>
          <w:b/>
        </w:rPr>
        <w:t>SUBCHAPTER</w:t>
        <w:t xml:space="preserve"> </w:t>
        <w:t>4</w:t>
      </w:r>
    </w:p>
    <w:p>
      <w:pPr>
        <w:jc w:val="center"/>
        <w:ind w:start="360"/>
        <w:spacing w:before="300" w:after="300"/>
      </w:pPr>
      <w:r>
        <w:rPr>
          <w:b/>
        </w:rPr>
        <w:t xml:space="preserve">DANGEROUS BUILDINGS</w:t>
      </w:r>
    </w:p>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jc w:val="both"/>
        <w:spacing w:before="100" w:after="100"/>
        <w:ind w:start="1080" w:hanging="720"/>
      </w:pPr>
      <w:r>
        <w:rPr>
          <w:b/>
        </w:rPr>
        <w:t>§</w:t>
        <w:t>2859</w:t>
        <w:t xml:space="preserve">.  </w:t>
      </w:r>
      <w:r>
        <w:rPr>
          <w:b/>
        </w:rPr>
        <w:t xml:space="preserve">Summary process</w:t>
      </w:r>
    </w:p>
    <w:p>
      <w:pPr>
        <w:jc w:val="both"/>
        <w:spacing w:before="100" w:after="100"/>
        <w:ind w:start="360"/>
        <w:ind w:firstLine="360"/>
      </w:pPr>
      <w:r>
        <w:rPr/>
      </w:r>
      <w:r>
        <w:rPr/>
      </w:r>
      <w:r>
        <w:t xml:space="preserve">In cases involving an immediate and serious threat to the public health, safety or welfare, in addition to any other remedies, a municipality or a county may obtain an order of demolition by summary process in Superior Court,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557, §3 (AMD).]</w:t>
      </w:r>
    </w:p>
    <w:p>
      <w:pPr>
        <w:jc w:val="both"/>
        <w:spacing w:before="100" w:after="0"/>
        <w:ind w:start="360"/>
        <w:ind w:firstLine="360"/>
      </w:pPr>
      <w:r>
        <w:rPr>
          <w:b/>
        </w:rPr>
        <w:t>1</w:t>
        <w:t xml:space="preserve">.  </w:t>
      </w:r>
      <w:r>
        <w:rPr>
          <w:b/>
        </w:rPr>
        <w:t xml:space="preserve">Commencement of action.</w:t>
        <w:t xml:space="preserve"> </w:t>
      </w:r>
      <w:r>
        <w:t xml:space="preserve"> </w:t>
      </w:r>
      <w:r>
        <w:t xml:space="preserve">A municipality, acting through its building official, code enforcement officer, fire chief or municipal officers, or the county commissioners shall file a verified complaint setting forth such facts as would justify a conclusion that a building is dangerous, as described in </w:t>
      </w:r>
      <w:r>
        <w:t>section 2851</w:t>
      </w:r>
      <w:r>
        <w:t xml:space="preserve">, and shall state in the complaint that the public health, safety or welfare requires the immediate removal of that building.  The municipality or the county may seek a writ of attachment of the property on which the building is located in accordance with </w:t>
      </w:r>
      <w:r>
        <w:t>Title 14, chapter 507</w:t>
      </w:r>
      <w:r>
        <w:t xml:space="preserve"> and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§4 (AMD).]</w:t>
      </w:r>
    </w:p>
    <w:p>
      <w:pPr>
        <w:jc w:val="both"/>
        <w:spacing w:before="100" w:after="100"/>
        <w:ind w:start="360"/>
        <w:ind w:firstLine="360"/>
      </w:pPr>
      <w:r>
        <w:rPr>
          <w:b/>
        </w:rPr>
        <w:t>2</w:t>
        <w:t xml:space="preserve">.  </w:t>
      </w:r>
      <w:r>
        <w:rPr>
          <w:b/>
        </w:rPr>
        <w:t xml:space="preserve">Order of notice.</w:t>
        <w:t xml:space="preserve"> </w:t>
      </w:r>
      <w:r>
        <w:t xml:space="preserve"> </w:t>
      </w:r>
      <w:r>
        <w:t xml:space="preserve">Whenever a complaint is filed under this section, the justice before whom it is brought, acting ex parte, shall promptly issue an order:</w:t>
      </w:r>
    </w:p>
    <w:p>
      <w:pPr>
        <w:jc w:val="both"/>
        <w:spacing w:before="100" w:after="0"/>
        <w:ind w:start="720"/>
      </w:pPr>
      <w:r>
        <w:rPr/>
        <w:t>A</w:t>
        <w:t xml:space="preserve">.  </w:t>
      </w:r>
      <w:r>
        <w:rPr/>
      </w:r>
      <w:r>
        <w:t xml:space="preserve">Requiring the owner and all parties in interest to appear and show cause why the building should not be ordered demolished;</w:t>
      </w:r>
      <w:r>
        <w:t xml:space="preserve">  </w:t>
      </w:r>
      <w:r xmlns:wp="http://schemas.openxmlformats.org/drawingml/2010/wordprocessingDrawing" xmlns:w15="http://schemas.microsoft.com/office/word/2012/wordml">
        <w:rPr>
          <w:rFonts w:ascii="Arial" w:hAnsi="Arial" w:cs="Arial"/>
          <w:sz w:val="22"/>
          <w:szCs w:val="22"/>
        </w:rPr>
        <w:t xml:space="preserve">[PL 2017, c. 136, §8 (AMD).]</w:t>
      </w:r>
    </w:p>
    <w:p>
      <w:pPr>
        <w:jc w:val="both"/>
        <w:spacing w:before="100" w:after="0"/>
        <w:ind w:start="720"/>
      </w:pPr>
      <w:r>
        <w:rPr/>
        <w:t>B</w:t>
        <w:t xml:space="preserve">.  </w:t>
      </w:r>
      <w:r>
        <w:rPr/>
      </w:r>
      <w:r>
        <w:t xml:space="preserve">Specifying the method of service of the order and the complaint;</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C</w:t>
        <w:t xml:space="preserve">.  </w:t>
      </w:r>
      <w:r>
        <w:rPr/>
      </w:r>
      <w:r>
        <w:t xml:space="preserve">Setting a time and place for hearing the complaint, which shall be the earliest possible time but not be later than 10 days from the date of filing; and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D</w:t>
        <w:t xml:space="preserve">.  </w:t>
      </w:r>
      <w:r>
        <w:rPr/>
      </w:r>
      <w:r>
        <w:t xml:space="preserve">Fixing the time for filing an answer to the complaint if the court determines that an answer is required.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§8 (AMD).]</w:t>
      </w:r>
    </w:p>
    <w:p>
      <w:pPr>
        <w:jc w:val="both"/>
        <w:spacing w:before="100" w:after="0"/>
        <w:ind w:start="360"/>
        <w:ind w:firstLine="360"/>
      </w:pPr>
      <w:r>
        <w:rPr>
          <w:b/>
        </w:rPr>
        <w:t>3</w:t>
        <w:t xml:space="preserve">.  </w:t>
      </w:r>
      <w:r>
        <w:rPr>
          <w:b/>
        </w:rPr>
        <w:t xml:space="preserve">Enlargement of time; default.</w:t>
        <w:t xml:space="preserve"> </w:t>
      </w:r>
      <w:r>
        <w:t xml:space="preserve"> </w:t>
      </w:r>
      <w:r>
        <w:t xml:space="preserve">The court may for good cause shown enlarge the time for the hearing. If the owner or parties-in-interest, or any of them, fail to answer, if an answer is required, or fail to appear as directed, or to attend the hearing at the time appointed or as enlarged, the court shall order a default judgment to be entered with respect to the owner or parties-in-interest.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4</w:t>
        <w:t xml:space="preserve">.  </w:t>
      </w:r>
      <w:r>
        <w:rPr>
          <w:b/>
        </w:rPr>
        <w:t xml:space="preserve">Hearing.</w:t>
        <w:t xml:space="preserve"> </w:t>
      </w:r>
      <w:r>
        <w:t xml:space="preserve"> </w:t>
      </w:r>
      <w:r>
        <w:t xml:space="preserve">After hearing, the court shall enter judgment. If the judgment requires removal of the building, the court shall award costs to the municipality or the county as authorized by this subchapter. The award of costs may be contested and damages sought in a separate action to the extent permitted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§5 (AMD).]</w:t>
      </w:r>
    </w:p>
    <w:p>
      <w:pPr>
        <w:jc w:val="both"/>
        <w:spacing w:before="100" w:after="0"/>
        <w:ind w:start="360"/>
        <w:ind w:firstLine="360"/>
      </w:pPr>
      <w:r>
        <w:rPr>
          <w:b/>
        </w:rPr>
        <w:t>5</w:t>
        <w:t xml:space="preserve">.  </w:t>
      </w:r>
      <w:r>
        <w:rPr>
          <w:b/>
        </w:rPr>
        <w:t xml:space="preserve">Appeal.</w:t>
        <w:t xml:space="preserve"> </w:t>
      </w:r>
      <w:r>
        <w:t xml:space="preserve"> </w:t>
      </w:r>
      <w:r>
        <w:t xml:space="preserve">A judgment requiring demolition issued pursuant to this section may not be appealed. The owner of a building that is the subject of an order issued under this section or a party in interest may appeal the award of costs, if any, or seek damages for wrongful removal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§9 (AMD).]</w:t>
      </w:r>
    </w:p>
    <w:p>
      <w:pPr>
        <w:jc w:val="both"/>
        <w:spacing w:before="100" w:after="0"/>
        <w:ind w:start="360"/>
        <w:ind w:firstLine="360"/>
      </w:pPr>
      <w:r>
        <w:rPr>
          <w:b/>
        </w:rPr>
        <w:t>6</w:t>
        <w:t xml:space="preserve">.  </w:t>
      </w:r>
      <w:r>
        <w:rPr>
          <w:b/>
        </w:rPr>
        <w:t xml:space="preserve">Stay.</w:t>
        <w:t xml:space="preserve"> </w:t>
      </w:r>
      <w:r>
        <w:t xml:space="preserve"> </w:t>
      </w:r>
      <w:r>
        <w:t xml:space="preserve">No judgment authorizing demolition may be stayed pending appeal, unless the court first determines that granting a stay would not pose a significant risk to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7</w:t>
        <w:t xml:space="preserve">.  </w:t>
      </w:r>
      <w:r>
        <w:rPr>
          <w:b/>
        </w:rPr>
        <w:t xml:space="preserve">Damages.</w:t>
        <w:t xml:space="preserve"> </w:t>
      </w:r>
      <w:r>
        <w:t xml:space="preserve"> </w:t>
      </w:r>
      <w:r>
        <w:t xml:space="preserve">Any complaint that either seeks damages for the wrongful removal of a building or challenges the award of costs must be filed no later than 30 days from the date of the judgment or order that is the subject of the appeal.  The damages that may be awarded for wrongful demolition are limited to the actual value of the building at the time of its removal.  The provisions of </w:t>
      </w:r>
      <w:r>
        <w:t>Title 14, section 7552</w:t>
      </w:r>
      <w:r>
        <w:t xml:space="preserve"> do not apply.  If the municipality or the county prevails, the court may award it its costs in defending any appeal, which may include, but are not limited to,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 PL 1995, c. 450, §6 (AMD). RR 2007, c. 2, §5 (COR). PL 2017, c. 136, §§7-10 (AMD). PL 2019, c. 557,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91.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