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Investigation and reporting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Investigation and reporting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§1023. INVESTIGATION AND REPORTING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