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Licenses</w:t>
      </w:r>
    </w:p>
    <w:p>
      <w:pPr>
        <w:jc w:val="both"/>
        <w:spacing w:before="100" w:after="0"/>
        <w:ind w:start="360"/>
        <w:ind w:firstLine="360"/>
      </w:pPr>
      <w:r>
        <w:rPr>
          <w:b/>
        </w:rPr>
        <w:t>1</w:t>
        <w:t xml:space="preserve">.  </w:t>
      </w:r>
      <w:r>
        <w:rPr>
          <w:b/>
        </w:rPr>
        <w:t xml:space="preserve">License or registration required.</w:t>
        <w:t xml:space="preserve"> </w:t>
      </w:r>
      <w:r>
        <w:t xml:space="preserve"> </w:t>
      </w:r>
      <w:r>
        <w:t xml:space="preserve">Except as provided in </w:t>
      </w:r>
      <w:r>
        <w:t>sections 1837‑A</w:t>
      </w:r>
      <w:r>
        <w:t xml:space="preserve"> and </w:t>
      </w:r>
      <w:r>
        <w:t>1837‑B</w:t>
      </w:r>
      <w:r>
        <w:t xml:space="preserve">, a person, firm, corporation, committee, association or organization may not hold, conduct or operate a game of chance without a license issued by or, as applicable, without registering with the Gambling Control Unit in accordance with this section.  A license is not required when a game of chance constitutes social gambling. For purposes of this section, "committee" means a party committee, political action committee or ballot question committee registered and required to file reports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 (AMD).]</w:t>
      </w:r>
    </w:p>
    <w:p>
      <w:pPr>
        <w:jc w:val="both"/>
        <w:spacing w:before="100" w:after="100"/>
        <w:ind w:start="360"/>
        <w:ind w:firstLine="360"/>
      </w:pPr>
      <w:r>
        <w:rPr>
          <w:b/>
        </w:rPr>
        <w:t>2</w:t>
        <w:t xml:space="preserve">.  </w:t>
      </w:r>
      <w:r>
        <w:rPr>
          <w:b/>
        </w:rPr>
        <w:t xml:space="preserve">Eligible organizations; licenses.</w:t>
        <w:t xml:space="preserve"> </w:t>
      </w:r>
      <w:r>
        <w:t xml:space="preserve"> </w:t>
      </w:r>
      <w:r>
        <w:t xml:space="preserve">The Gambling Control Unit may issue a license to operate a card game and certain tournament games to an organization that submits a completed application as described in </w:t>
      </w:r>
      <w:r>
        <w:t>subsection 5</w:t>
      </w:r>
      <w:r>
        <w:t xml:space="preserve"> and has been founded, chartered or organized in this State for a period of not less than 2 consecutive years prior to applying for a license and is:</w:t>
      </w:r>
    </w:p>
    <w:p>
      <w:pPr>
        <w:jc w:val="both"/>
        <w:spacing w:before="100" w:after="0"/>
        <w:ind w:start="720"/>
      </w:pPr>
      <w:r>
        <w:rPr/>
        <w:t>A</w:t>
        <w:t xml:space="preserve">.  </w:t>
      </w:r>
      <w:r>
        <w:rPr/>
      </w:r>
      <w:r>
        <w:t xml:space="preserve">An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bona fide nonprofit charitable, educational, political, civic, recreational, fraternal, patriotic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volunteer fire department;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An auxiliary of any of the organizations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2-A</w:t>
        <w:t xml:space="preserve">.  </w:t>
      </w:r>
      <w:r>
        <w:rPr>
          <w:b/>
        </w:rPr>
        <w:t xml:space="preserve">Registration.</w:t>
        <w:t xml:space="preserve"> </w:t>
      </w:r>
      <w:r>
        <w:t xml:space="preserve"> </w:t>
      </w:r>
      <w:r>
        <w:t xml:space="preserve">The Gambling Control Unit may accept a registration from an eligible organization described in </w:t>
      </w:r>
      <w:r>
        <w:t>subsection 2</w:t>
      </w:r>
      <w:r>
        <w:t xml:space="preserve"> and other persons as specifically provided under </w:t>
      </w:r>
      <w:r>
        <w:t>section 1835‑A</w:t>
      </w:r>
      <w:r>
        <w:t xml:space="preserve">, </w:t>
      </w:r>
      <w:r>
        <w:t>section 1836, subsection 4‑B</w:t>
      </w:r>
      <w:r>
        <w:t xml:space="preserve"> and </w:t>
      </w:r>
      <w:r>
        <w:t>section 1837‑A</w:t>
      </w:r>
      <w:r>
        <w:t xml:space="preserve"> to conduct games of chance, raffles and charitable cribbage tournaments.  An eligible organization or person seeking to register to conduct a game of chance, raffle or charitable cribbage tournament shall register in the manner prescribed by the Gambling Control Unit and shall maintain records and reports in the same manner as described under </w:t>
      </w:r>
      <w:r>
        <w:t>section 1839</w:t>
      </w:r>
      <w:r>
        <w:t xml:space="preserve">, except that disposition of funds reports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(NEW).]</w:t>
      </w:r>
    </w:p>
    <w:p>
      <w:pPr>
        <w:jc w:val="both"/>
        <w:spacing w:before="100" w:after="0"/>
        <w:ind w:start="360"/>
        <w:ind w:firstLine="360"/>
      </w:pPr>
      <w:r>
        <w:rPr>
          <w:b/>
        </w:rPr>
        <w:t>2-B</w:t>
        <w:t xml:space="preserve">.  </w:t>
      </w:r>
      <w:r>
        <w:rPr>
          <w:b/>
        </w:rPr>
        <w:t xml:space="preserve">Once-annual game night registration.</w:t>
        <w:t xml:space="preserve"> </w:t>
      </w:r>
      <w:r>
        <w:t xml:space="preserve"> </w:t>
      </w:r>
      <w:r>
        <w:t xml:space="preserve">The Gambling Control Unit may accept a registration from an eligible organization described in </w:t>
      </w:r>
      <w:r>
        <w:t>subsection 2</w:t>
      </w:r>
      <w:r>
        <w:t xml:space="preserve"> or a committee to conduct once in a calendar year a game night, referred to in this section as "a game night," which may include the operation or conduct of card games and games of chance. The proceeds from the game night must be dedicated to a verifiable charitable purpose, except that, if the registrant is a committee, the proceeds must be for the purpose of fund-raising. An eligible organization or committee seeking to register to conduct a game night under this subsection shall register in the manner prescribed by the Gambling Control Unit and shall maintain records in the same manner as described under </w:t>
      </w:r>
      <w:r>
        <w:t>section 1839</w:t>
      </w:r>
      <w:r>
        <w:t xml:space="preserve">, except that disposition of funds reports for card games allowed under this subsection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§2 (NEW).]</w:t>
      </w:r>
    </w:p>
    <w:p>
      <w:pPr>
        <w:jc w:val="both"/>
        <w:spacing w:before="100" w:after="0"/>
        <w:ind w:start="360"/>
        <w:ind w:firstLine="360"/>
      </w:pPr>
      <w:r>
        <w:rPr>
          <w:b/>
        </w:rPr>
        <w:t>3</w:t>
        <w:t xml:space="preserve">.  </w:t>
      </w:r>
      <w:r>
        <w:rPr>
          <w:b/>
        </w:rPr>
        <w:t xml:space="preserve">Must be 18 years of age.</w:t>
        <w:t xml:space="preserve"> </w:t>
      </w:r>
      <w:r>
        <w:t xml:space="preserve"> </w:t>
      </w:r>
      <w:r>
        <w:t xml:space="preserve">The Gambling Control Unit may not accept a registration to conduct a game night, a game of chance, a raffle or certain tournament games or accept an application from or issue a license for card games and certain tournament games under this section to a person or representative of an eligible organization or committee who is not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§3 (AMD).]</w:t>
      </w:r>
    </w:p>
    <w:p>
      <w:pPr>
        <w:jc w:val="both"/>
        <w:spacing w:before="100" w:after="0"/>
        <w:ind w:start="360"/>
        <w:ind w:firstLine="360"/>
      </w:pPr>
      <w:r>
        <w:rPr>
          <w:b/>
        </w:rPr>
        <w:t>4</w:t>
        <w:t xml:space="preserve">.  </w:t>
      </w:r>
      <w:r>
        <w:rPr>
          <w:b/>
        </w:rPr>
        <w:t xml:space="preserve">Municipal approval required.</w:t>
        <w:t xml:space="preserve"> </w:t>
      </w:r>
      <w:r>
        <w:t xml:space="preserve"> </w:t>
      </w:r>
      <w:r>
        <w:t xml:space="preserve">An eligible organization described in </w:t>
      </w:r>
      <w:r>
        <w:t>subsection 2</w:t>
      </w:r>
      <w:r>
        <w:t xml:space="preserve"> applying for a license to conduct a card game and tournament games requiring a license or an eligible organization or committee registering to conduct a game night under </w:t>
      </w:r>
      <w:r>
        <w:t>subsection 2‑B</w:t>
      </w:r>
      <w:r>
        <w:t xml:space="preserve"> shall obtain written approval from the local governing authority where the game or the game night is to be operated or conducted.  This written approval must be submitted with the application to the Gambling Control Unit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§4 (AMD).]</w:t>
      </w:r>
    </w:p>
    <w:p>
      <w:pPr>
        <w:jc w:val="both"/>
        <w:spacing w:before="100" w:after="0"/>
        <w:ind w:start="360"/>
        <w:ind w:firstLine="360"/>
      </w:pPr>
      <w:r>
        <w:rPr>
          <w:b/>
        </w:rPr>
        <w:t>5</w:t>
        <w:t xml:space="preserve">.  </w:t>
      </w:r>
      <w:r>
        <w:rPr>
          <w:b/>
        </w:rPr>
        <w:t xml:space="preserve">Application.</w:t>
        <w:t xml:space="preserve"> </w:t>
      </w:r>
      <w:r>
        <w:t xml:space="preserve"> </w:t>
      </w:r>
      <w:r>
        <w:t xml:space="preserve">An eligible organization described in </w:t>
      </w:r>
      <w:r>
        <w:t>subsection 2</w:t>
      </w:r>
      <w:r>
        <w:t xml:space="preserve"> seeking to obtain a license to conduct a card game or certain tournament games requiring a license shall submit an application to the Gambling Control Unit.  The application must be in a form provided by the Gambling Control Unit and must be signed by a duly authorized officer of the eligible organization. The application must include the full name and address of the organization, a full description of the card game or tournament game, the location where the card game or tournament game is to be conducted and any other information determined necessary by the Gambling Control Unit for the issuance of a license to operate a card game or certain tournament games, including but not limited to membership lists, bylaws and documentation showing the organization's nonprofit status or charitable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5-A</w:t>
        <w:t xml:space="preserve">.  </w:t>
      </w:r>
      <w:r>
        <w:rPr>
          <w:b/>
        </w:rPr>
        <w:t xml:space="preserve">Once-annual game night application.</w:t>
        <w:t xml:space="preserve"> </w:t>
      </w:r>
      <w:r>
        <w:t xml:space="preserve"> </w:t>
      </w:r>
      <w:r>
        <w:t xml:space="preserve">An eligible organization described in </w:t>
      </w:r>
      <w:r>
        <w:t>subsection 2</w:t>
      </w:r>
      <w:r>
        <w:t xml:space="preserve"> or committee seeking to register to conduct a game night shall submit an application to the Gambling Control Unit. The application must be in a form provided by the Gambling Control Unit and must be signed by a duly authorized officer of the eligible organization or committee. The application must include the full name and address of the eligible organization or committee, a full description of the card games or games of chance to be operated or conducted, the location where the game night is to be conducted and any other information determined necessary by the Gambling Control Unit for the issuance of a registration to conduct a game night, including but not limited to membership lists, bylaws, documentation showing the organization's nonprofit status or charitable designation, if applicable, documentation showing the committee's registration under </w:t>
      </w:r>
      <w:r>
        <w:t>Title 21‑A, chapter 13</w:t>
      </w:r>
      <w:r>
        <w:t xml:space="preserve">, if applicable, and documentation verifying the purpose of the game night's proceeds. A game night must be conducted in accordance with </w:t>
      </w:r>
      <w:r>
        <w:t>section 1835‑B</w:t>
      </w:r>
      <w:r>
        <w:t xml:space="preserve">. If the game night will be conducted, pursuant to </w:t>
      </w:r>
      <w:r>
        <w:t>section 1835‑B, subsection 2</w:t>
      </w:r>
      <w:r>
        <w:t xml:space="preserve">, by employees of a distributor licensed under </w:t>
      </w:r>
      <w:r>
        <w:t>section 1840</w:t>
      </w:r>
      <w:r>
        <w:t xml:space="preserve">, the application must include the full name and address of the licensed distributor and any other information determined necessary by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§5 (NEW).]</w:t>
      </w:r>
    </w:p>
    <w:p>
      <w:pPr>
        <w:jc w:val="both"/>
        <w:spacing w:before="100" w:after="0"/>
        <w:ind w:start="360"/>
        <w:ind w:firstLine="360"/>
      </w:pPr>
      <w:r>
        <w:rPr>
          <w:b/>
        </w:rPr>
        <w:t>6</w:t>
        <w:t xml:space="preserve">.  </w:t>
      </w:r>
      <w:r>
        <w:rPr>
          <w:b/>
        </w:rPr>
        <w:t xml:space="preserve">Multiple licenses.</w:t>
        <w:t xml:space="preserve"> </w:t>
      </w:r>
      <w:r>
        <w:t xml:space="preserve"> </w:t>
      </w:r>
      <w:r>
        <w:t xml:space="preserve">The Gambling Control Unit may issue more than one license or registration to conduct or operate a game governed by this chapter simultaneously to an eligible organization described in </w:t>
      </w:r>
      <w:r>
        <w:t>subsection 2</w:t>
      </w:r>
      <w:r>
        <w:t xml:space="preserve">.  Each game governed by this chapter must have a separate license, the nature of which must be specified on the license, except that a registration issued under </w:t>
      </w:r>
      <w:r>
        <w:t>subsection 2‑B</w:t>
      </w:r>
      <w:r>
        <w:t xml:space="preserve"> for a game night may allow for multiple card games and games of chance to be operated or conducted simultaneously by the eligible organization or committee described in </w:t>
      </w:r>
      <w:r>
        <w:t>subsection 2‑B</w:t>
      </w:r>
      <w:r>
        <w:t xml:space="preserve"> without separate licenses or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§6 (AMD).]</w:t>
      </w:r>
    </w:p>
    <w:p>
      <w:pPr>
        <w:jc w:val="both"/>
        <w:spacing w:before="100" w:after="0"/>
        <w:ind w:start="360"/>
        <w:ind w:firstLine="360"/>
      </w:pPr>
      <w:r>
        <w:rPr>
          <w:b/>
        </w:rPr>
        <w:t>7</w:t>
        <w:t xml:space="preserve">.  </w:t>
      </w:r>
      <w:r>
        <w:rPr>
          <w:b/>
        </w:rPr>
        <w:t xml:space="preserve">Agricultural fairs.</w:t>
        <w:t xml:space="preserve"> </w:t>
      </w:r>
      <w:r>
        <w:t xml:space="preserve"> </w:t>
      </w:r>
      <w:r>
        <w:t xml:space="preserve">Notwithstanding any provision in this chapter to the contrary, in addition to games of chance, the Gambling Control Unit may accept a registration to conduct or operate games of chance known as "penny falls" or "quarter falls" at any agricultural fair, as long as the net revenue from those games is retained by the registered agricultural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100"/>
        <w:ind w:start="360"/>
        <w:ind w:firstLine="360"/>
      </w:pPr>
      <w:r>
        <w:rPr>
          <w:b/>
        </w:rPr>
        <w:t>8</w:t>
        <w:t xml:space="preserve">.  </w:t>
      </w:r>
      <w:r>
        <w:rPr>
          <w:b/>
        </w:rPr>
        <w:t xml:space="preserve">Electronic video machines.</w:t>
        <w:t xml:space="preserve"> </w:t>
      </w:r>
      <w:r>
        <w:t xml:space="preserve"> </w:t>
      </w:r>
      <w:r>
        <w:t xml:space="preserve">The Gambling Control Unit may issue a license to operate an electronic video machine to any eligible organization described in </w:t>
      </w:r>
      <w:r>
        <w:t>subsection 2</w:t>
      </w:r>
      <w:r>
        <w:t xml:space="preserve">.</w:t>
      </w:r>
    </w:p>
    <w:p>
      <w:pPr>
        <w:jc w:val="both"/>
        <w:spacing w:before="100" w:after="0"/>
        <w:ind w:start="720"/>
      </w:pPr>
      <w:r>
        <w:rPr/>
        <w:t>A</w:t>
        <w:t xml:space="preserve">.  </w:t>
      </w:r>
      <w:r>
        <w:rPr/>
      </w:r>
      <w:r>
        <w:t xml:space="preserve">An electronic video machine licensed under this section may only be operated for the exclusive benefit of the licensee, except that up to 50% of the gross proceeds from the operation of the machine may be paid to the distributor as a rental fee and for service and repair of the machine. Notwithstanding other provisions of this chapter, a licensee may rent an electronic video machine from a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No more than 5 electronic video machines may be operated on the licensee's premises.  A separate games of chance license is required for the operation of each electronic video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licensee may operate an electronic video machine only on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Two or more licensees may not share the use of any premises for the operation of electronic video machines.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E</w:t>
        <w:t xml:space="preserve">.  </w:t>
      </w:r>
      <w:r>
        <w:rPr/>
      </w:r>
      <w:r>
        <w:t xml:space="preserve">A distributor or employee of the distributor may not be a member of the licensed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F</w:t>
        <w:t xml:space="preserve">.  </w:t>
      </w:r>
      <w:r>
        <w:rPr/>
      </w:r>
      <w:r>
        <w:t xml:space="preserve">An electronic video machine licensed under this subsection may not be operated in a manner that meets the definition of illegal gambling machine as described in </w:t>
      </w:r>
      <w:r>
        <w:t>Title 17‑A, section 952,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§15 (AMD). PL 2019, c. 129, §1 (AMD). PL 2021, c. 136, §5 (AMD). PL 2023, c. 391,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