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§1842. INVESTIGATIONS AND ACTIONS ON LICENSES AND REGISTRATIONS;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