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§2264-B. Penalty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§2264-B. PENALTY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