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Promiscuous dumping prohibited</w:t>
      </w:r>
    </w:p>
    <w:p>
      <w:pPr>
        <w:jc w:val="both"/>
        <w:spacing w:before="100" w:after="100"/>
        <w:ind w:start="360"/>
        <w:ind w:firstLine="360"/>
      </w:pPr>
      <w:r>
        <w:rPr/>
      </w:r>
      <w:r>
        <w:rPr/>
      </w:r>
      <w:r>
        <w:t xml:space="preserve">No person shall deposit household garbage, leaves, clippings, prunings or gardening refuse in any litter receptacle.</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Persons violating the provisions of this section are liable for the same penalties as provided for violation of </w:t>
      </w:r>
      <w:r>
        <w:t>section 2264‑A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§43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2003, c. 452, §I43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§2272. Promiscuous dumping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Promiscuous dumping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§2272. PROMISCUOUS DUMPING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