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Conduct of beano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Conduct of beano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 CONDUCT OF BEANO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