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3604</w:t>
        <w:t xml:space="preserve">.  </w:t>
      </w:r>
      <w:r>
        <w:rPr>
          <w:b/>
        </w:rPr>
        <w:t xml:space="preserve">-- carelessness and neglect in reference to trains</w:t>
      </w:r>
    </w:p>
    <w:p>
      <w:pPr>
        <w:jc w:val="both"/>
        <w:spacing w:before="100" w:after="100"/>
        <w:ind w:start="360"/>
        <w:ind w:firstLine="360"/>
      </w:pPr>
      <w:r>
        <w:rPr/>
      </w:r>
      <w:r>
        <w:rPr/>
      </w:r>
      <w:r>
        <w:t xml:space="preserve">Whoever, having any management of or control, either alone or with others, over any railroad locomotive, car or train while it is used for the carriage of persons or property, or is at any time guilty of gross carelessness or neglect thereon or in relation to the management or control thereof; or maliciously stops or delays the same in violation of the rules and regulations then in force for the operation thereof; or abstracts therefrom the tools or appliances pertaining thereto, with intent thereby maliciously to delay the same, shall be punished by a fine of not more than $1,000 or by imprisonment for not more than 3 years.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§3604. -- carelessness and neglect in reference to trains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§3604. -- carelessness and neglect in reference to trains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§3604. -- CARELESSNESS AND NEGLECT IN REFERENCE TO TRAINS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