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Budget planning, defined</w:t>
      </w:r>
    </w:p>
    <w:p>
      <w:pPr>
        <w:jc w:val="both"/>
        <w:spacing w:before="100" w:after="100"/>
        <w:ind w:start="360"/>
        <w:ind w:firstLine="360"/>
      </w:pPr>
      <w:r>
        <w:rPr/>
      </w:r>
      <w:r>
        <w:rPr/>
      </w:r>
      <w:r>
        <w:t xml:space="preserve">"Budget planning" means the making of a contract with a particular debtor, when the debtor agrees to pay a certain amount periodically to the person engaged in the budget planning, who shall distribute the same to a certain specified creditor or among certain specified creditors in accordance with a plan agreed upon by the debtor.</w:t>
      </w:r>
      <w:r>
        <w:t xml:space="preserve">  </w:t>
      </w:r>
      <w:r xmlns:wp="http://schemas.openxmlformats.org/drawingml/2010/wordprocessingDrawing" xmlns:w15="http://schemas.microsoft.com/office/word/2012/wordml">
        <w:rPr>
          <w:rFonts w:ascii="Arial" w:hAnsi="Arial" w:cs="Arial"/>
          <w:sz w:val="22"/>
          <w:szCs w:val="22"/>
        </w:rPr>
        <w:t xml:space="preserve">[PL 1999, c. 560,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 Budget planning,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Budget planning,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§702. BUDGET PLANNING,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