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NONPROBATE TRANSFERS</w:t>
      </w:r>
    </w:p>
    <w:p>
      <w:pPr>
        <w:jc w:val="center"/>
        <w:ind w:start="360"/>
        <w:spacing w:before="300" w:after="300"/>
      </w:pPr>
      <w:r>
        <w:rPr>
          <w:b/>
        </w:rPr>
        <w:t>PART</w:t>
        <w:t xml:space="preserve"> </w:t>
        <w:t>1</w:t>
      </w:r>
    </w:p>
    <w:p>
      <w:pPr>
        <w:jc w:val="center"/>
        <w:ind w:start="360"/>
        <w:spacing w:before="300" w:after="300"/>
      </w:pPr>
      <w:r>
        <w:rPr>
          <w:b/>
        </w:rPr>
        <w:t xml:space="preserve">MULTIPLE-PARTY ACCOUNTS</w:t>
      </w:r>
    </w:p>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PROVISIONS RELATING TO EFFECT OF DEATH</w:t>
      </w:r>
    </w:p>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UNIFORM TRANSFER ON DEATH SECURITY REGISTRATION ACT</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6. NONPROBATE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