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as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102</w:t>
        <w:t xml:space="preserve">.  </w:t>
      </w:r>
      <w:r>
        <w:rPr>
          <w:b/>
        </w:rPr>
        <w:t xml:space="preserve">Scope</w:t>
      </w:r>
    </w:p>
    <w:p>
      <w:pPr>
        <w:jc w:val="both"/>
        <w:spacing w:before="100" w:after="100"/>
        <w:ind w:start="360"/>
        <w:ind w:firstLine="360"/>
      </w:pPr>
      <w:r>
        <w:rPr/>
      </w:r>
      <w:r>
        <w:rPr/>
      </w:r>
      <w:r>
        <w:t xml:space="preserve">This Code applies to express trusts, charitable or noncharitable, and trusts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103</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Action.</w:t>
        <w:t xml:space="preserve"> </w:t>
      </w:r>
      <w:r>
        <w:t xml:space="preserve"> </w:t>
      </w:r>
      <w:r>
        <w:t xml:space="preserve">"Action," with respect to an act of a trustee, includes a failure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1-A</w:t>
        <w:t xml:space="preserve">.  </w:t>
      </w:r>
      <w:r>
        <w:rPr>
          <w:b/>
        </w:rPr>
        <w:t xml:space="preserve">Ascertainable standard.</w:t>
        <w:t xml:space="preserve"> </w:t>
      </w:r>
      <w:r>
        <w:t xml:space="preserve"> </w:t>
      </w:r>
      <w:r>
        <w:t xml:space="preserve">"Ascertainable standard" means an ascertainable standard relating to an individual's health, education, support or maintenance within the meaning of Section 2041(b)(1)(A) or Section 2514(c)(1) of the federal Internal Revenue Code of 1986, as in effect on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§2 (NEW).]</w:t>
      </w:r>
    </w:p>
    <w:p>
      <w:pPr>
        <w:jc w:val="both"/>
        <w:spacing w:before="100" w:after="100"/>
        <w:ind w:start="360"/>
        <w:ind w:firstLine="360"/>
      </w:pPr>
      <w:r>
        <w:rPr>
          <w:b/>
        </w:rPr>
        <w:t>2</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beneficial interest in a trust, vested or contingent;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 a capacity other than that of trustee, holds a power of appointment over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Charitable trust.</w:t>
        <w:t xml:space="preserve"> </w:t>
      </w:r>
      <w:r>
        <w:t xml:space="preserve"> </w:t>
      </w:r>
      <w:r>
        <w:t xml:space="preserve">"Charitable trust" means a trust, or portion of a trust, created for a charitable purpose described in </w:t>
      </w:r>
      <w:r>
        <w:t>section 405,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3-A</w:t>
        <w:t xml:space="preserve">.  </w:t>
      </w:r>
      <w:r>
        <w:rPr>
          <w:b/>
        </w:rPr>
        <w:t xml:space="preserve">Code.</w:t>
        <w:t xml:space="preserve"> </w:t>
      </w:r>
      <w:r>
        <w:t xml:space="preserve"> </w:t>
      </w:r>
      <w:r>
        <w:t xml:space="preserve">"Code" means the Maine Uniform Trust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by the court to administer an estate of a minor or adult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4-A</w:t>
        <w:t xml:space="preserve">.  </w:t>
      </w:r>
      <w:r>
        <w:rPr>
          <w:b/>
        </w:rPr>
        <w:t xml:space="preserve">Current beneficiary.</w:t>
        <w:t xml:space="preserve"> </w:t>
      </w:r>
      <w:r>
        <w:t xml:space="preserve"> </w:t>
      </w:r>
      <w:r>
        <w:t xml:space="preserve">"Current beneficiary" means a beneficiary who, on the date the beneficiary's qualification is determined, is a distributee or permissible distributee of trust income or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§1 (NEW).]</w:t>
      </w:r>
    </w:p>
    <w:p>
      <w:pPr>
        <w:jc w:val="both"/>
        <w:spacing w:before="100" w:after="0"/>
        <w:ind w:start="360"/>
        <w:ind w:firstLine="360"/>
      </w:pPr>
      <w:r>
        <w:rPr>
          <w:b/>
        </w:rPr>
        <w:t>5</w:t>
        <w:t xml:space="preserve">.  </w:t>
      </w:r>
      <w:r>
        <w:rPr>
          <w:b/>
        </w:rPr>
        <w:t xml:space="preserve">Environmental law.</w:t>
        <w:t xml:space="preserve"> </w:t>
      </w:r>
      <w:r>
        <w:t xml:space="preserve"> </w:t>
      </w:r>
      <w:r>
        <w:t xml:space="preserve">"Environmental law" means a federal, state or local law, rule, regulation or ordinance relating to protection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Guardian.</w:t>
        <w:t xml:space="preserve"> </w:t>
      </w:r>
      <w:r>
        <w:t xml:space="preserve"> </w:t>
      </w:r>
      <w:r>
        <w:t xml:space="preserve">"Guardian" means a person who has qualified pursuant to court appointment to make decisions regarding the support, care, education, health and welfare of a minor or adult individual. The term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Interests of beneficiaries.</w:t>
        <w:t xml:space="preserve"> </w:t>
      </w:r>
      <w:r>
        <w:t xml:space="preserve"> </w:t>
      </w:r>
      <w:r>
        <w:t xml:space="preserve">"Interests of the beneficiaries" means the beneficial interests provided in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Jurisdiction.</w:t>
        <w:t xml:space="preserve"> </w:t>
      </w:r>
      <w:r>
        <w:t xml:space="preserve"> </w:t>
      </w:r>
      <w:r>
        <w:t xml:space="preserve">"Jurisdiction," with respect to a geographic area, includes a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Power of withdrawal.</w:t>
        <w:t xml:space="preserve"> </w:t>
      </w:r>
      <w:r>
        <w:t xml:space="preserve"> </w:t>
      </w:r>
      <w:r>
        <w:t xml:space="preserve">"Power of withdrawal" means a presently exercisable general power of appointment other than a power exercisable by a trustee that is limited by an ascertainable standard, or exercisable by another person only upon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§3 (AMD).]</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anything that may be the subject of ownership, whether real or personal, legal or equitable,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12</w:t>
        <w:t xml:space="preserve">.  </w:t>
      </w:r>
      <w:r>
        <w:rPr>
          <w:b/>
        </w:rPr>
        <w:t xml:space="preserve">Qualified beneficiary.</w:t>
        <w:t xml:space="preserve"> </w:t>
      </w:r>
      <w:r>
        <w:t xml:space="preserve"> </w:t>
      </w:r>
      <w:r>
        <w:t xml:space="preserve">"Qualified beneficiary" means a living beneficiary who on the date the beneficiary's qualification is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but the termination of those interests would not cause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2005, c. 184, §4 (AMD).]</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"Qualified beneficiary" does not include a contingent distributee or a contingent permissible distributee of trust income or principal whose interest in the trust is not reasonably expected to 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§4 (AMD).]</w:t>
      </w:r>
    </w:p>
    <w:p>
      <w:pPr>
        <w:jc w:val="both"/>
        <w:spacing w:before="100" w:after="0"/>
        <w:ind w:start="360"/>
        <w:ind w:firstLine="360"/>
      </w:pPr>
      <w:r>
        <w:rPr>
          <w:b/>
        </w:rPr>
        <w:t>13</w:t>
        <w:t xml:space="preserve">.  </w:t>
      </w:r>
      <w:r>
        <w:rPr>
          <w:b/>
        </w:rPr>
        <w:t xml:space="preserve">Revocable.</w:t>
        <w:t xml:space="preserve"> </w:t>
      </w:r>
      <w:r>
        <w:t xml:space="preserve"> </w:t>
      </w:r>
      <w:r>
        <w:t xml:space="preserve">"Revocable," as applied to a trust, means revocable by the settlor without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Settlor.</w:t>
        <w:t xml:space="preserve"> </w:t>
      </w:r>
      <w:r>
        <w:t xml:space="preserve"> </w:t>
      </w:r>
      <w:r>
        <w:t xml:space="preserve">"Settlor"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Spendthrift provision.</w:t>
        <w:t xml:space="preserve"> </w:t>
      </w:r>
      <w:r>
        <w:t xml:space="preserve"> </w:t>
      </w:r>
      <w:r>
        <w:t xml:space="preserve">"Spendthrift provision" means a term of a trust that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17</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other person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§1 (RPR).]</w:t>
      </w:r>
    </w:p>
    <w:p>
      <w:pPr>
        <w:jc w:val="both"/>
        <w:spacing w:before="100" w:after="0"/>
        <w:ind w:start="360"/>
        <w:ind w:firstLine="360"/>
      </w:pPr>
      <w:r>
        <w:rPr>
          <w:b/>
        </w:rPr>
        <w:t>18</w:t>
        <w:t xml:space="preserve">.  </w:t>
      </w:r>
      <w:r>
        <w:rPr>
          <w:b/>
        </w:rPr>
        <w:t xml:space="preserve">Trust instrument.</w:t>
        <w:t xml:space="preserve"> </w:t>
      </w:r>
      <w:r>
        <w:t xml:space="preserve"> </w:t>
      </w:r>
      <w:r>
        <w:t xml:space="preserve">"Trust instrument" means an instrument executed by the settlor that contains terms of the trust, including any amendments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Trustee.</w:t>
        <w:t xml:space="preserve"> </w:t>
      </w:r>
      <w:r>
        <w:t xml:space="preserve"> </w:t>
      </w:r>
      <w:r>
        <w:t xml:space="preserve">"Trustee" includes an original, additional and successor trustee, and a cotrustee,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§§2-4 (AMD). PL 2011, c. 42, §1 (AMD). PL 2019, c. 301, §1 (AMD). </w:t>
      </w:r>
    </w:p>
    <w:p>
      <w:pPr>
        <w:jc w:val="both"/>
        <w:spacing w:before="100" w:after="100"/>
        <w:ind w:start="1080" w:hanging="720"/>
      </w:pPr>
      <w:r>
        <w:rPr>
          <w:b/>
        </w:rPr>
        <w:t>§</w:t>
        <w:t>104</w:t>
        <w:t xml:space="preserve">.  </w:t>
      </w:r>
      <w:r>
        <w:rPr>
          <w:b/>
        </w:rPr>
        <w:t xml:space="preserve">Knowledge</w:t>
      </w:r>
    </w:p>
    <w:p>
      <w:pPr>
        <w:jc w:val="both"/>
        <w:spacing w:before="100" w:after="100"/>
        <w:ind w:start="360"/>
        <w:ind w:firstLine="360"/>
      </w:pPr>
      <w:r>
        <w:rPr>
          <w:b/>
        </w:rPr>
        <w:t>1</w:t>
        <w:t xml:space="preserve">.  </w:t>
      </w:r>
      <w:r>
        <w:rPr>
          <w:b/>
        </w:rPr>
        <w:t xml:space="preserve">Person.</w:t>
        <w:t xml:space="preserve"> </w:t>
      </w:r>
      <w:r>
        <w:t xml:space="preserve"> </w:t>
      </w:r>
      <w:r>
        <w:t xml:space="preserve">Subject to </w:t>
      </w:r>
      <w:r>
        <w:t>subsection 2</w:t>
      </w:r>
      <w:r>
        <w:t xml:space="preserve">, a person has knowledge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From all the facts and circumstances known to the person at the time in question, has reason to know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Organization.</w:t>
        <w:t xml:space="preserve"> </w:t>
      </w:r>
      <w:r>
        <w:t xml:space="preserve"> </w:t>
      </w:r>
      <w:r>
        <w:t xml:space="preserve">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105</w:t>
        <w:t xml:space="preserve">.  </w:t>
      </w:r>
      <w:r>
        <w:rPr>
          <w:b/>
        </w:rPr>
        <w:t xml:space="preserve">Default and mandatory rules</w:t>
      </w:r>
    </w:p>
    <w:p>
      <w:pPr>
        <w:jc w:val="both"/>
        <w:spacing w:before="100" w:after="0"/>
        <w:ind w:start="360"/>
        <w:ind w:firstLine="360"/>
      </w:pPr>
      <w:r>
        <w:rPr>
          <w:b/>
        </w:rPr>
        <w:t>1</w:t>
        <w:t xml:space="preserve">.  </w:t>
      </w:r>
      <w:r>
        <w:rPr>
          <w:b/>
        </w:rPr>
        <w:t xml:space="preserve">Code governs.</w:t>
        <w:t xml:space="preserve"> </w:t>
      </w:r>
      <w:r>
        <w:t xml:space="preserve"> </w:t>
      </w:r>
      <w:r>
        <w:t xml:space="preserve">Except as otherwise provided in the terms of the trust, this Code governs the duties and powers of a trustee, relations among trustees and the rights and interests of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prevail; exceptions.</w:t>
        <w:t xml:space="preserve"> </w:t>
      </w:r>
      <w:r>
        <w:t xml:space="preserve"> </w:t>
      </w:r>
      <w:r>
        <w:t xml:space="preserve">The terms of a trust prevail over any provision of this Code except:</w:t>
      </w:r>
    </w:p>
    <w:p>
      <w:pPr>
        <w:jc w:val="both"/>
        <w:spacing w:before="100" w:after="0"/>
        <w:ind w:start="720"/>
      </w:pPr>
      <w:r>
        <w:rPr/>
        <w:t>A</w:t>
        <w:t xml:space="preserve">.  </w:t>
      </w:r>
      <w:r>
        <w:rPr/>
      </w:r>
      <w:r>
        <w:t xml:space="preserve">The requirements for creating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Subject to the Maine Uniform Directed Trust Act, the duty of a trustee to act in good faith and in accordance with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2019, c. 301, §2 (AMD).]</w:t>
      </w:r>
    </w:p>
    <w:p>
      <w:pPr>
        <w:jc w:val="both"/>
        <w:spacing w:before="100" w:after="0"/>
        <w:ind w:start="720"/>
      </w:pPr>
      <w:r>
        <w:rPr/>
        <w:t>C</w:t>
        <w:t xml:space="preserve">.  </w:t>
      </w:r>
      <w:r>
        <w:rPr/>
      </w:r>
      <w:r>
        <w:t xml:space="preserve">The requirement that a trust and its terms be for the benefit of its beneficiaries and that the trust have a purpose that is lawful, not contrary to public policy and possible to achieve;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 of the court to modify or terminate a trust under </w:t>
      </w:r>
      <w:r>
        <w:t>sections 410</w:t>
      </w:r>
      <w:r>
        <w:t xml:space="preserve"> to </w:t>
      </w:r>
      <w:r>
        <w:t>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effect of a spendthrift provision and the rights of certain creditors and assignees to reach a trust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power of the court under </w:t>
      </w:r>
      <w:r>
        <w:t>section 702</w:t>
      </w:r>
      <w:r>
        <w:t xml:space="preserve"> to require, dispense with, modify or terminate a bond;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power of the court under </w:t>
      </w:r>
      <w:r>
        <w:t>section 708, subsection 2</w:t>
      </w:r>
      <w:r>
        <w:t xml:space="preserve"> to adjust a trustee's compensation specified in the terms of the trust that is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Subject to </w:t>
      </w:r>
      <w:r>
        <w:t>subsection 3</w:t>
      </w:r>
      <w:r>
        <w:t xml:space="preserve">, the duty under </w:t>
      </w:r>
      <w:r>
        <w:t>section 813, subsection 2, paragraphs B</w:t>
      </w:r>
      <w:r>
        <w:t xml:space="preserve"> and </w:t>
      </w:r>
      <w:r>
        <w:t>C</w:t>
      </w:r>
      <w:r>
        <w:t xml:space="preserve"> to notify current beneficiaries of an irrevocable trust who have attained 25 years of age of the existence of the trust, of the identity of the trustee and of their right to request trustee's reports;</w:t>
      </w:r>
      <w:r>
        <w:t xml:space="preserve">  </w:t>
      </w:r>
      <w:r xmlns:wp="http://schemas.openxmlformats.org/drawingml/2010/wordprocessingDrawing" xmlns:w15="http://schemas.microsoft.com/office/word/2012/wordml">
        <w:rPr>
          <w:rFonts w:ascii="Arial" w:hAnsi="Arial" w:cs="Arial"/>
          <w:sz w:val="22"/>
          <w:szCs w:val="22"/>
        </w:rPr>
        <w:t xml:space="preserve">[PL 2011, c. 42, §2 (AMD).]</w:t>
      </w:r>
    </w:p>
    <w:p>
      <w:pPr>
        <w:jc w:val="both"/>
        <w:spacing w:before="100" w:after="0"/>
        <w:ind w:start="720"/>
      </w:pPr>
      <w:r>
        <w:rPr/>
        <w:t>I</w:t>
        <w:t xml:space="preserve">.  </w:t>
      </w:r>
      <w:r>
        <w:rPr/>
      </w:r>
      <w:r>
        <w:t xml:space="preserve">Subject to </w:t>
      </w:r>
      <w:r>
        <w:t>subsection 3</w:t>
      </w:r>
      <w:r>
        <w:t xml:space="preserve">, the duty under </w:t>
      </w:r>
      <w:r>
        <w:t>section 813, subsection 1</w:t>
      </w:r>
      <w:r>
        <w:t xml:space="preserve"> to respond to the request of a current beneficiary of an irrevocable trust for trustee's reports and other information reasonably related to the administration of a trust;</w:t>
      </w:r>
      <w:r>
        <w:t xml:space="preserve">  </w:t>
      </w:r>
      <w:r xmlns:wp="http://schemas.openxmlformats.org/drawingml/2010/wordprocessingDrawing" xmlns:w15="http://schemas.microsoft.com/office/word/2012/wordml">
        <w:rPr>
          <w:rFonts w:ascii="Arial" w:hAnsi="Arial" w:cs="Arial"/>
          <w:sz w:val="22"/>
          <w:szCs w:val="22"/>
        </w:rPr>
        <w:t xml:space="preserve">[PL 2011, c. 42, §3 (AMD).]</w:t>
      </w:r>
    </w:p>
    <w:p>
      <w:pPr>
        <w:jc w:val="both"/>
        <w:spacing w:before="100" w:after="0"/>
        <w:ind w:start="720"/>
      </w:pPr>
      <w:r>
        <w:rPr/>
        <w:t>J</w:t>
        <w:t xml:space="preserve">.  </w:t>
      </w:r>
      <w:r>
        <w:rPr/>
      </w:r>
      <w:r>
        <w:t xml:space="preserve">The effect of an exculpatory term under </w:t>
      </w:r>
      <w:r>
        <w:t>section 1008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K</w:t>
        <w:t xml:space="preserve">.  </w:t>
      </w:r>
      <w:r>
        <w:rPr/>
      </w:r>
      <w:r>
        <w:t xml:space="preserve">The rights under </w:t>
      </w:r>
      <w:r>
        <w:t>sections 1010</w:t>
      </w:r>
      <w:r>
        <w:t xml:space="preserve"> to </w:t>
      </w:r>
      <w:r>
        <w:t>1013</w:t>
      </w:r>
      <w:r>
        <w:t xml:space="preserve"> of a person other than a trustee or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L</w:t>
        <w:t xml:space="preserve">.  </w:t>
      </w:r>
      <w:r>
        <w:rPr/>
      </w:r>
      <w:r>
        <w:t xml:space="preserve">Periods of limitation for commencing a judicial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M</w:t>
        <w:t xml:space="preserve">.  </w:t>
      </w:r>
      <w:r>
        <w:rPr/>
      </w:r>
      <w:r>
        <w:t xml:space="preserve">The power of the court to take such action and exercise such jurisdiction as may be necessary in the interests of justice;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N</w:t>
        <w:t xml:space="preserve">.  </w:t>
      </w:r>
      <w:r>
        <w:rPr/>
      </w:r>
      <w:r>
        <w:t xml:space="preserve">The subject matter jurisdiction of the court and venue for commencing a proceeding as provided in </w:t>
      </w:r>
      <w:r>
        <w:t>sections 203</w:t>
      </w:r>
      <w:r>
        <w:t xml:space="preserve"> and </w:t>
      </w:r>
      <w:r>
        <w:t>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§2 (AMD).]</w:t>
      </w:r>
    </w:p>
    <w:p>
      <w:pPr>
        <w:jc w:val="both"/>
        <w:spacing w:before="100" w:after="100"/>
        <w:ind w:start="360"/>
        <w:ind w:firstLine="360"/>
      </w:pPr>
      <w:r>
        <w:rPr>
          <w:b/>
        </w:rPr>
        <w:t>3</w:t>
        <w:t xml:space="preserve">.  </w:t>
      </w:r>
      <w:r>
        <w:rPr>
          <w:b/>
        </w:rPr>
        <w:t xml:space="preserve">Waiver or modification.</w:t>
        <w:t xml:space="preserve"> </w:t>
      </w:r>
      <w:r>
        <w:t xml:space="preserve"> </w:t>
      </w:r>
      <w:r>
        <w:t xml:space="preserve">The settlor, in the trust instrument or in another writing delivered to the trustee, may waive or modify one or more of the duties of a trustee under </w:t>
      </w:r>
      <w:r>
        <w:t>section 813, subsections 1</w:t>
      </w:r>
      <w:r>
        <w:t xml:space="preserve">, </w:t>
      </w:r>
      <w:r>
        <w:t>2</w:t>
      </w:r>
      <w:r>
        <w:t xml:space="preserve"> and </w:t>
      </w:r>
      <w:r>
        <w:t>3</w:t>
      </w:r>
      <w:r>
        <w:t xml:space="preserve"> to give notice, information and reports to qualified beneficiaries in either or both of the following ways:</w:t>
      </w:r>
    </w:p>
    <w:p>
      <w:pPr>
        <w:jc w:val="both"/>
        <w:spacing w:before="100" w:after="0"/>
        <w:ind w:start="720"/>
      </w:pPr>
      <w:r>
        <w:rPr/>
        <w:t>A</w:t>
        <w:t xml:space="preserve">.  </w:t>
      </w:r>
      <w:r>
        <w:rPr/>
      </w:r>
      <w:r>
        <w:t xml:space="preserve">Waiving or modifying such duties as to all qualified beneficiaries except the settlor's surviving spouse during the lifetime of the settlor or the lifetime of the settlor's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2005, c. 184, §6 (NEW).]</w:t>
      </w:r>
    </w:p>
    <w:p>
      <w:pPr>
        <w:jc w:val="both"/>
        <w:spacing w:before="100" w:after="0"/>
        <w:ind w:start="720"/>
      </w:pPr>
      <w:r>
        <w:rPr/>
        <w:t>B</w:t>
        <w:t xml:space="preserve">.  </w:t>
      </w:r>
      <w:r>
        <w:rPr/>
      </w:r>
      <w:r>
        <w:t xml:space="preserve">With respect to one or more of the current beneficiaries as to whom the settlor has waived or modified such duties, designating a person or persons, any of whom may or may not be a beneficiary, to act in good faith to protect the interests of the current beneficiaries who are not receiving notice, information or reports and to receive any notice, information or reports required under </w:t>
      </w:r>
      <w:r>
        <w:t>section 813, subsection 1</w:t>
      </w:r>
      <w:r>
        <w:t xml:space="preserve">, </w:t>
      </w:r>
      <w:r>
        <w:t>2</w:t>
      </w:r>
      <w:r>
        <w:t xml:space="preserve"> or </w:t>
      </w:r>
      <w:r>
        <w:t>3</w:t>
      </w:r>
      <w:r>
        <w:t xml:space="preserve"> in lieu of providing such notice, information or reports to the current beneficiaries.  The person or persons designated under this paragraph are deemed to be representatives of the current beneficiaries not receiving notice, information or reports for the purposes of the time limitation for a beneficiary to commence an action against the trustee for breach of trust as provided in </w:t>
      </w:r>
      <w:r>
        <w:t>section 1005,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§§5,6 (AMD). PL 2005, c. 683, §C7 (AMD). PL 2011, c. 42, §§2-4 (AMD). PL 2017, c. 349, §1 (AMD). PL 2019, c. 301, §2 (AMD). </w:t>
      </w:r>
    </w:p>
    <w:p>
      <w:pPr>
        <w:jc w:val="both"/>
        <w:spacing w:before="100" w:after="100"/>
        <w:ind w:start="1080" w:hanging="720"/>
      </w:pPr>
      <w:r>
        <w:rPr>
          <w:b/>
        </w:rPr>
        <w:t>§</w:t>
        <w:t>106</w:t>
        <w:t xml:space="preserve">.  </w:t>
      </w:r>
      <w:r>
        <w:rPr>
          <w:b/>
        </w:rPr>
        <w:t xml:space="preserve">Common law of trusts; principles of equity</w:t>
      </w:r>
    </w:p>
    <w:p>
      <w:pPr>
        <w:jc w:val="both"/>
        <w:spacing w:before="100" w:after="100"/>
        <w:ind w:start="360"/>
        <w:ind w:firstLine="360"/>
      </w:pPr>
      <w:r>
        <w:rPr/>
      </w:r>
      <w:r>
        <w:rPr/>
      </w:r>
      <w:r>
        <w:t xml:space="preserve">The common law of trusts and principles of equity supplement this Code, except to the extent modified by this Code or another statute of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107</w:t>
        <w:t xml:space="preserve">.  </w:t>
      </w:r>
      <w:r>
        <w:rPr>
          <w:b/>
        </w:rPr>
        <w:t xml:space="preserve">Governing law</w:t>
      </w:r>
    </w:p>
    <w:p>
      <w:pPr>
        <w:jc w:val="both"/>
        <w:spacing w:before="100" w:after="100"/>
        <w:ind w:start="360"/>
        <w:ind w:firstLine="360"/>
      </w:pPr>
      <w:r>
        <w:rPr/>
      </w:r>
      <w:r>
        <w:rPr/>
      </w:r>
      <w:r>
        <w:t xml:space="preserve">The meaning and effect of the terms of a trust are determined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Law of jurisdiction designated; exception.</w:t>
        <w:t xml:space="preserve"> </w:t>
      </w:r>
      <w:r>
        <w:t xml:space="preserve"> </w:t>
      </w:r>
      <w:r>
        <w:t xml:space="preserve">The law of the jurisdiction designated in the terms unless the designation of that jurisdiction's law is contrary to a strong public policy of the jurisdiction having the most significant relationship to the matter at issue;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Law of jurisdiction with most significant relationship.</w:t>
        <w:t xml:space="preserve"> </w:t>
      </w:r>
      <w:r>
        <w:t xml:space="preserve"> </w:t>
      </w:r>
      <w:r>
        <w:t xml:space="preserve">In the absence of a controlling designation in the terms of the trust, the law of the jurisdiction having the most significant relationship to the matter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108</w:t>
        <w:t xml:space="preserve">.  </w:t>
      </w:r>
      <w:r>
        <w:rPr>
          <w:b/>
        </w:rPr>
        <w:t xml:space="preserve">Principal place of administration</w:t>
      </w:r>
    </w:p>
    <w:p>
      <w:pPr>
        <w:jc w:val="both"/>
        <w:spacing w:before="100" w:after="100"/>
        <w:ind w:start="360"/>
        <w:ind w:firstLine="360"/>
      </w:pPr>
      <w:r>
        <w:rPr>
          <w:b/>
        </w:rPr>
        <w:t>1</w:t>
        <w:t xml:space="preserve">.  </w:t>
      </w:r>
      <w:r>
        <w:rPr>
          <w:b/>
        </w:rPr>
        <w:t xml:space="preserve">Terms of trust controlling.</w:t>
        <w:t xml:space="preserve"> </w:t>
      </w:r>
      <w:r>
        <w:t xml:space="preserve"> </w:t>
      </w:r>
      <w:r>
        <w:t xml:space="preserve">Without precluding other means for establishing a sufficient connection with the designated jurisdiction, terms of a trust designating the principal place of administration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Duty of trustee.</w:t>
        <w:t xml:space="preserve"> </w:t>
      </w:r>
      <w:r>
        <w:t xml:space="preserve"> </w:t>
      </w:r>
      <w:r>
        <w:t xml:space="preserve">A trustee is under a continuing duty to administer the trust at a place appropriate to its purposes, its administration and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Transfer of place of administration.</w:t>
        <w:t xml:space="preserve"> </w:t>
      </w:r>
      <w:r>
        <w:t xml:space="preserve"> </w:t>
      </w:r>
      <w:r>
        <w:t xml:space="preserve">Without precluding the right of the court to order, approve or disapprove a transfer, the trustee, in furtherance of the duty prescribed by </w:t>
      </w:r>
      <w:r>
        <w:t>subsection 2</w:t>
      </w:r>
      <w:r>
        <w:t xml:space="preserve">, may transfer the trust's principal place of administration to another state or to a jurisdiction outside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Notice of transfer of place of administration.</w:t>
        <w:t xml:space="preserve"> </w:t>
      </w:r>
      <w:r>
        <w:t xml:space="preserve"> </w:t>
      </w:r>
      <w:r>
        <w:t xml:space="preserve">The trustee shall notify the qualified beneficiaries of a proposed transfer of a trust's principal place of administration not less than 60 days before initiating the transfer. The notice of proposed transfer must include:</w:t>
      </w:r>
    </w:p>
    <w:p>
      <w:pPr>
        <w:jc w:val="both"/>
        <w:spacing w:before="100" w:after="0"/>
        <w:ind w:start="720"/>
      </w:pPr>
      <w:r>
        <w:rPr/>
        <w:t>A</w:t>
        <w:t xml:space="preserve">.  </w:t>
      </w:r>
      <w:r>
        <w:rPr/>
      </w:r>
      <w:r>
        <w:t xml:space="preserve">The name of the jurisdiction to which the principal place of administration is to be transferred;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address and telephone number at the new location at which the trustee can be contacted;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explanation of the reasons for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date on which the proposed transfer is anticipated to occur;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date, which may not be less than 60 days after the giving of the notice, by which the qualified beneficiary must notify the trustee of an objection to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Objection to transfer.</w:t>
        <w:t xml:space="preserve"> </w:t>
      </w:r>
      <w:r>
        <w:t xml:space="preserve"> </w:t>
      </w:r>
      <w:r>
        <w:t xml:space="preserve">The authority of a trustee under this section to transfer a trust's principal place of administration terminates if a qualified beneficiary notifies the trustee of an objection to the proposed transfer on or before the date specified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Transfer property to successor trustee.</w:t>
        <w:t xml:space="preserve"> </w:t>
      </w:r>
      <w:r>
        <w:t xml:space="preserve"> </w:t>
      </w:r>
      <w:r>
        <w:t xml:space="preserve">In connection with a transfer of the trust's principal place of administration, the trustee may transfer some or all of the trust property to a successor trustee designated in the terms of the trust or appointed pursuant to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109</w:t>
        <w:t xml:space="preserve">.  </w:t>
      </w:r>
      <w:r>
        <w:rPr>
          <w:b/>
        </w:rPr>
        <w:t xml:space="preserve">Methods and waiver of notice</w:t>
      </w:r>
    </w:p>
    <w:p>
      <w:pPr>
        <w:jc w:val="both"/>
        <w:spacing w:before="100" w:after="0"/>
        <w:ind w:start="360"/>
        <w:ind w:firstLine="360"/>
      </w:pPr>
      <w:r>
        <w:rPr>
          <w:b/>
        </w:rPr>
        <w:t>1</w:t>
        <w:t xml:space="preserve">.  </w:t>
      </w:r>
      <w:r>
        <w:rPr>
          <w:b/>
        </w:rPr>
        <w:t xml:space="preserve">Manner.</w:t>
        <w:t xml:space="preserve"> </w:t>
      </w:r>
      <w:r>
        <w:t xml:space="preserve"> </w:t>
      </w:r>
      <w:r>
        <w:t xml:space="preserve">Notice to a person under this Code or the sending of a document to a person under this Code must be accomplished in a manner reasonably suitable under the circumstances and likely to result in receipt of the notice or document. Permissible methods of notice or for sending a document include first-class mail, personal delivery, delivery to the person's last known place of residence or place of business or a properly directed electronic message.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Notice not required.</w:t>
        <w:t xml:space="preserve"> </w:t>
      </w:r>
      <w:r>
        <w:t xml:space="preserve"> </w:t>
      </w:r>
      <w:r>
        <w:t xml:space="preserve">Notice otherwise required under this Code or a document otherwise required to be sent under this Code need not be provided to a person whose identity or location is unknown to and not reasonably ascertainable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Waiver.</w:t>
        <w:t xml:space="preserve"> </w:t>
      </w:r>
      <w:r>
        <w:t xml:space="preserve"> </w:t>
      </w:r>
      <w:r>
        <w:t xml:space="preserve">Notice under this Code or the sending of a document under this Code may be waived by the person to be notified or sent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Notice of judicial proceeding.</w:t>
        <w:t xml:space="preserve"> </w:t>
      </w:r>
      <w:r>
        <w:t xml:space="preserve"> </w:t>
      </w:r>
      <w:r>
        <w:t xml:space="preserve">Notice of a judicial proceeding must be given as provided in the applicable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w:t>
        <w:t xml:space="preserve">.  </w:t>
      </w:r>
      <w:r>
        <w:rPr>
          <w:b/>
        </w:rPr>
        <w:t xml:space="preserve">Others treated as qualified beneficiaries</w:t>
      </w:r>
    </w:p>
    <w:p>
      <w:pPr>
        <w:jc w:val="both"/>
        <w:spacing w:before="100" w:after="100"/>
        <w:ind w:start="360"/>
        <w:ind w:firstLine="360"/>
      </w:pPr>
      <w:r>
        <w:rPr>
          <w:b/>
        </w:rPr>
        <w:t>1</w:t>
        <w:t xml:space="preserve">.  </w:t>
      </w:r>
      <w:r>
        <w:rPr>
          <w:b/>
        </w:rPr>
        <w:t xml:space="preserve">Charitable organization or person to enforce trust.</w:t>
        <w:t xml:space="preserve"> </w:t>
      </w:r>
      <w:r>
        <w:t xml:space="preserve"> </w:t>
      </w:r>
      <w:r>
        <w:t xml:space="preserve">A charitable organization expressly designated to receive distributions under the terms of a charitable trust has the rights of a qualified beneficiary under this Code if the charitable organization, on the date the charitable organization's qualification is being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B</w:t>
        <w:t xml:space="preserve">.  </w:t>
      </w:r>
      <w:r>
        <w:rPr/>
      </w:r>
      <w:r>
        <w:t xml:space="preserve">Would be a distributee or a permissible distributee of trust income or principal upon the termination of the interests of other distributees or permissible distributees then receiving or eligible to receive distributions; or</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2017, c. 39, §1 (AMD).]</w:t>
      </w:r>
    </w:p>
    <w:p>
      <w:pPr>
        <w:jc w:val="both"/>
        <w:spacing w:before="100" w:after="0"/>
        <w:ind w:start="360"/>
      </w:pPr>
      <w:r>
        <w:rPr/>
      </w:r>
      <w:r>
        <w:rPr/>
      </w:r>
      <w:r>
        <w:t xml:space="preserve">A charitable organization whose interest in the trust as a contingent distributee of the trust income or principal is not reasonably expected to vest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 §1 (AMD).]</w:t>
      </w:r>
    </w:p>
    <w:p>
      <w:pPr>
        <w:jc w:val="both"/>
        <w:spacing w:before="100" w:after="0"/>
        <w:ind w:start="360"/>
        <w:ind w:firstLine="360"/>
      </w:pPr>
      <w:r>
        <w:rPr>
          <w:b/>
        </w:rPr>
        <w:t>1-A</w:t>
        <w:t xml:space="preserve">.  </w:t>
      </w:r>
      <w:r>
        <w:rPr>
          <w:b/>
        </w:rPr>
        <w:t xml:space="preserve">Person appointed to enforce trust.</w:t>
        <w:t xml:space="preserve"> </w:t>
      </w:r>
      <w:r>
        <w:t xml:space="preserve"> </w:t>
      </w:r>
      <w:r>
        <w:t xml:space="preserve">A person appointed to enforce a trust created for the care of an animal or another noncharitable purpose as provided in </w:t>
      </w:r>
      <w:r>
        <w:t>section 408</w:t>
      </w:r>
      <w:r>
        <w:t xml:space="preserve"> or </w:t>
      </w:r>
      <w:r>
        <w:t>409</w:t>
      </w:r>
      <w:r>
        <w:t xml:space="preserve"> has the rights of a qualified beneficiary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(NEW).]</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has the rights provided in </w:t>
      </w:r>
      <w:r>
        <w:t>Title 5, section 194</w:t>
      </w:r>
      <w:r>
        <w:t xml:space="preserve"> with respect to a charitable trust having its principal place of administration in this State, but may not be treated as and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§7 (AMD). PL 2017, c. 39, §1 (AMD). </w:t>
      </w:r>
    </w:p>
    <w:p>
      <w:pPr>
        <w:jc w:val="both"/>
        <w:spacing w:before="100" w:after="100"/>
        <w:ind w:start="1080" w:hanging="720"/>
      </w:pPr>
      <w:r>
        <w:rPr>
          <w:b/>
        </w:rPr>
        <w:t>§</w:t>
        <w:t>111</w:t>
        <w:t xml:space="preserve">.  </w:t>
      </w:r>
      <w:r>
        <w:rPr>
          <w:b/>
        </w:rPr>
        <w:t xml:space="preserve">Nonjudicial settlement agreements</w:t>
      </w:r>
    </w:p>
    <w:p>
      <w:pPr>
        <w:jc w:val="both"/>
        <w:spacing w:before="100" w:after="0"/>
        <w:ind w:start="360"/>
        <w:ind w:firstLine="360"/>
      </w:pPr>
      <w:r>
        <w:rPr>
          <w:b/>
        </w:rPr>
        <w:t>1</w:t>
        <w:t xml:space="preserve">.  </w:t>
      </w:r>
      <w:r>
        <w:rPr>
          <w:b/>
        </w:rPr>
        <w:t xml:space="preserve">Interested persons defined.</w:t>
        <w:t xml:space="preserve"> </w:t>
      </w:r>
      <w:r>
        <w:t xml:space="preserve"> </w:t>
      </w:r>
      <w:r>
        <w:t xml:space="preserve">For purposes of this section, "interested persons" means persons whose consent would be required in order to achieve a binding settlement were the settlement to be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Binding nonjudicial settlement agreement.</w:t>
        <w:t xml:space="preserve"> </w:t>
      </w:r>
      <w:r>
        <w:t xml:space="preserve"> </w:t>
      </w:r>
      <w:r>
        <w:t xml:space="preserve">Except as otherwise provided in </w:t>
      </w:r>
      <w:r>
        <w:t>subsection 3</w:t>
      </w:r>
      <w:r>
        <w:t xml:space="preserve">, interested persons may enter into a binding nonjudicial settlement agreement with respect to any matter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Validity of nonjudicial settlement agreement.</w:t>
        <w:t xml:space="preserve"> </w:t>
      </w:r>
      <w:r>
        <w:t xml:space="preserve"> </w:t>
      </w:r>
      <w:r>
        <w:t xml:space="preserve">A nonjudicial settlement agreement is valid only to the extent it does not violate a material purpose of the trust and includes terms and conditions that could be properly approved by the court under this Code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Matters of nonjudicial settlement agreement.</w:t>
        <w:t xml:space="preserve"> </w:t>
      </w:r>
      <w:r>
        <w:t xml:space="preserve"> </w:t>
      </w:r>
      <w:r>
        <w:t xml:space="preserve">Matters that may be resolved by a nonjudicial settlement agreement include:</w:t>
      </w:r>
    </w:p>
    <w:p>
      <w:pPr>
        <w:jc w:val="both"/>
        <w:spacing w:before="100" w:after="0"/>
        <w:ind w:start="720"/>
      </w:pPr>
      <w:r>
        <w:rPr/>
        <w:t>A</w:t>
        <w:t xml:space="preserve">.  </w:t>
      </w:r>
      <w:r>
        <w:rPr/>
      </w:r>
      <w:r>
        <w:t xml:space="preserve">The interpretation or construction of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approval of a trustee's report or accounting;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Direction to a trustee to refrain from performing a particular act or the grant to a trustee of any necessary or desirable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resignation or appointment of a trustee and the determination of a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Transfer of a trust's principal place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Liability of a trustee for an action relating to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Court approval.</w:t>
        <w:t xml:space="preserve"> </w:t>
      </w:r>
      <w:r>
        <w:t xml:space="preserve"> </w:t>
      </w:r>
      <w:r>
        <w:t xml:space="preserve">Any interested person may request the court to approve a nonjudicial settlement agreement, to determine whether the representation as provided in </w:t>
      </w:r>
      <w:r>
        <w:t>chapter 3</w:t>
      </w:r>
      <w:r>
        <w:t xml:space="preserve"> was adequate and to determine whether the agreement contains terms and conditions the court could have properly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112</w:t>
        <w:t xml:space="preserve">.  </w:t>
      </w:r>
      <w:r>
        <w:rPr>
          <w:b/>
        </w:rPr>
        <w:t xml:space="preserve">Rules of construction</w:t>
      </w:r>
    </w:p>
    <w:p>
      <w:pPr>
        <w:jc w:val="both"/>
        <w:spacing w:before="100" w:after="100"/>
        <w:ind w:start="360"/>
        <w:ind w:firstLine="360"/>
      </w:pPr>
      <w:r>
        <w:rPr/>
      </w:r>
      <w:r>
        <w:rPr/>
      </w:r>
      <w:r>
        <w:t xml:space="preserve">The rules of construction that apply in this State to the interpretation of and disposition of property by will also apply as appropriate to the interpretation of the terms of a trust and the disposition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 GENERAL PROVISIONS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