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MISCELLANEOUS PROVISIONS</w:t>
      </w:r>
    </w:p>
    <w:p>
      <w:pPr>
        <w:jc w:val="both"/>
        <w:spacing w:before="100" w:after="100"/>
        <w:ind w:start="1080" w:hanging="720"/>
      </w:pPr>
      <w:r>
        <w:rPr>
          <w:b/>
        </w:rPr>
        <w:t>§</w:t>
        <w:t>1101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Code,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1102</w:t>
        <w:t xml:space="preserve">.  </w:t>
      </w:r>
      <w:r>
        <w:rPr>
          <w:b/>
        </w:rPr>
        <w:t xml:space="preserve">Electronic records and signatures</w:t>
      </w:r>
    </w:p>
    <w:p>
      <w:pPr>
        <w:jc w:val="both"/>
        <w:spacing w:before="100" w:after="100"/>
        <w:ind w:start="360"/>
        <w:ind w:firstLine="360"/>
      </w:pPr>
      <w:r>
        <w:rPr/>
      </w:r>
      <w:r>
        <w:rPr/>
      </w:r>
      <w:r>
        <w:t xml:space="preserve">The provisions of this Code governing the legal effect, validity or enforceability of electronic records or electronic signatures, and of contracts formed or performed with the use of such records or signatures, conform to the requirements of Section 102 of the federal Electronic Signatures in Global and National Commerce Act, 15 United States Code, Section 7002, and supersede, modify and limit the requirements of the federal Electronic Signatures in Global and National Commerce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Code takes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1104</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provided in this Code, on July 1, 2005:</w:t>
      </w:r>
    </w:p>
    <w:p>
      <w:pPr>
        <w:jc w:val="both"/>
        <w:spacing w:before="100" w:after="0"/>
        <w:ind w:start="720"/>
      </w:pPr>
      <w:r>
        <w:rPr/>
        <w:t>A</w:t>
        <w:t xml:space="preserve">.  </w:t>
      </w:r>
      <w:r>
        <w:rPr/>
      </w:r>
      <w:r>
        <w:t xml:space="preserve">This Code applies to all trusts created before,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This Code applies to all judicial proceedings concerning trusts commenced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This Code applies to judicial proceedings concerning trusts commenced before July 1, 2005 unless the court finds that application of a particular provision of this Code would substantially interfere with the effective conduct of the judicial proceedings or prejudice the rights of the parties, in which case the particular provision of this Code does not apply and the superseded law applies;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Any rule of construction or presumption provided in this Code applies to trust instruments executed before July 1, 2005 unless there is a clear indication of a contrary intent in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act done before July 1, 2005 is not affected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Continued application of statute.</w:t>
        <w:t xml:space="preserve"> </w:t>
      </w:r>
      <w:r>
        <w:t xml:space="preserve"> </w:t>
      </w:r>
      <w:r>
        <w:t xml:space="preserve">If a right is acquired, extinguished or barred upon the expiration of a prescribed period that has commenced to run under any other statute before July 1, 2005, that statute continues to apply to the right even if it has been repealed or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11.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