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REPRESENTATION</w:t>
      </w:r>
    </w:p>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